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新华街基层政务公开标准目录</w:t>
      </w:r>
    </w:p>
    <w:p>
      <w:pPr>
        <w:spacing w:line="1520" w:lineRule="exact"/>
        <w:rPr>
          <w:rFonts w:ascii="华文中宋" w:hAnsi="华文中宋" w:eastAsia="华文中宋"/>
          <w:spacing w:val="20"/>
          <w:sz w:val="52"/>
          <w:szCs w:val="52"/>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Times New Roman" w:eastAsia="华文中宋"/>
          <w:sz w:val="48"/>
          <w:szCs w:val="48"/>
          <w:lang w:val="en-US" w:eastAsia="zh-CN"/>
        </w:rPr>
        <w:t>10</w:t>
      </w:r>
      <w:r>
        <w:rPr>
          <w:rFonts w:ascii="Times New Roman" w:hAnsi="华文中宋" w:eastAsia="华文中宋"/>
          <w:sz w:val="48"/>
          <w:szCs w:val="48"/>
        </w:rPr>
        <w:t>月</w:t>
      </w:r>
    </w:p>
    <w:p>
      <w:pPr>
        <w:spacing w:line="560" w:lineRule="exact"/>
        <w:rPr>
          <w:rFonts w:ascii="Times New Roman" w:hAnsi="Times New Roman" w:eastAsia="方正小标宋_GBK"/>
          <w:sz w:val="48"/>
          <w:szCs w:val="48"/>
        </w:rPr>
      </w:pPr>
    </w:p>
    <w:p>
      <w:pPr>
        <w:jc w:val="center"/>
        <w:rPr>
          <w:rFonts w:ascii="黑体" w:hAnsi="黑体" w:eastAsia="黑体"/>
          <w:b/>
          <w:bCs/>
          <w:sz w:val="44"/>
          <w:szCs w:val="44"/>
        </w:rPr>
      </w:pPr>
    </w:p>
    <w:p>
      <w:pPr>
        <w:jc w:val="center"/>
        <w:rPr>
          <w:rFonts w:ascii="黑体" w:hAnsi="黑体" w:eastAsia="黑体"/>
          <w:b/>
          <w:bCs/>
          <w:sz w:val="44"/>
          <w:szCs w:val="44"/>
        </w:rPr>
        <w:sectPr>
          <w:headerReference r:id="rId3" w:type="default"/>
          <w:footerReference r:id="rId4" w:type="default"/>
          <w:pgSz w:w="16838" w:h="11906" w:orient="landscape"/>
          <w:pgMar w:top="1304" w:right="1304" w:bottom="1304" w:left="1304" w:header="851" w:footer="992" w:gutter="0"/>
          <w:pgNumType w:fmt="decimal" w:start="2"/>
          <w:cols w:space="0" w:num="1"/>
          <w:docGrid w:type="lines" w:linePitch="312" w:charSpace="0"/>
        </w:sect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rPr>
          <w:rFonts w:ascii="黑体" w:hAnsi="黑体" w:eastAsia="黑体"/>
          <w:b/>
          <w:bCs/>
          <w:sz w:val="44"/>
          <w:szCs w:val="44"/>
        </w:rPr>
      </w:pPr>
      <w:r>
        <w:rPr>
          <w:rFonts w:hint="eastAsia" w:ascii="黑体" w:hAnsi="黑体" w:eastAsia="黑体"/>
          <w:b/>
          <w:bCs/>
          <w:sz w:val="44"/>
          <w:szCs w:val="44"/>
        </w:rPr>
        <w:t xml:space="preserve">       </w:t>
      </w:r>
    </w:p>
    <w:p>
      <w:pPr>
        <w:jc w:val="center"/>
        <w:rPr>
          <w:rFonts w:ascii="黑体" w:hAnsi="黑体" w:eastAsia="黑体"/>
          <w:b/>
          <w:bCs/>
          <w:sz w:val="44"/>
          <w:szCs w:val="44"/>
        </w:rPr>
      </w:pPr>
    </w:p>
    <w:p>
      <w:pPr>
        <w:spacing w:line="440" w:lineRule="exact"/>
        <w:ind w:firstLine="4176" w:firstLineChars="1300"/>
        <w:rPr>
          <w:rFonts w:ascii="黑体" w:hAnsi="黑体" w:eastAsia="黑体" w:cs="黑体"/>
          <w:b/>
          <w:bCs/>
          <w:sz w:val="32"/>
          <w:szCs w:val="32"/>
        </w:rPr>
      </w:pPr>
    </w:p>
    <w:p>
      <w:pPr>
        <w:spacing w:line="440" w:lineRule="exact"/>
        <w:ind w:firstLine="4176" w:firstLineChars="1300"/>
        <w:rPr>
          <w:rFonts w:ascii="黑体" w:hAnsi="黑体" w:eastAsia="黑体" w:cs="黑体"/>
          <w:b/>
          <w:bCs/>
          <w:sz w:val="32"/>
          <w:szCs w:val="32"/>
        </w:rPr>
      </w:pPr>
    </w:p>
    <w:p>
      <w:pPr>
        <w:spacing w:line="440" w:lineRule="exact"/>
        <w:ind w:firstLine="4176" w:firstLineChars="1300"/>
        <w:rPr>
          <w:rFonts w:ascii="黑体" w:hAnsi="黑体" w:eastAsia="黑体" w:cs="黑体"/>
          <w:b/>
          <w:bCs/>
          <w:sz w:val="32"/>
          <w:szCs w:val="32"/>
        </w:rPr>
        <w:sectPr>
          <w:footerReference r:id="rId5" w:type="default"/>
          <w:pgSz w:w="16838" w:h="11906" w:orient="landscape"/>
          <w:pgMar w:top="1304" w:right="1304" w:bottom="1304" w:left="1304" w:header="851" w:footer="992" w:gutter="0"/>
          <w:pgNumType w:fmt="decimal" w:start="2"/>
          <w:cols w:space="0" w:num="1"/>
          <w:docGrid w:type="lines" w:linePitch="312" w:charSpace="0"/>
        </w:sectPr>
      </w:pPr>
    </w:p>
    <w:p>
      <w:pPr>
        <w:pStyle w:val="5"/>
        <w:rPr>
          <w:rFonts w:ascii="黑体" w:hAnsi="方正小标宋_GBK" w:eastAsia="黑体"/>
          <w:sz w:val="30"/>
          <w:szCs w:val="30"/>
        </w:rPr>
      </w:pP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Style w:val="8"/>
          <w:rFonts w:hint="eastAsia" w:ascii="黑体" w:hAnsi="黑体" w:eastAsia="黑体" w:cs="黑体"/>
          <w:sz w:val="30"/>
          <w:szCs w:val="30"/>
        </w:rPr>
        <w:instrText xml:space="preserve"> TOC \o "1-3" \h \z \u </w:instrText>
      </w:r>
      <w:r>
        <w:rPr>
          <w:rFonts w:hint="eastAsia" w:ascii="黑体" w:hAnsi="黑体" w:eastAsia="黑体" w:cs="黑体"/>
          <w:sz w:val="30"/>
          <w:szCs w:val="30"/>
        </w:rPr>
        <w:fldChar w:fldCharType="separate"/>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"_Toc24724705"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（一）</w:t>
      </w:r>
      <w:r>
        <w:rPr>
          <w:rFonts w:hint="eastAsia" w:ascii="黑体" w:hAnsi="黑体" w:eastAsia="黑体" w:cs="黑体"/>
          <w:sz w:val="30"/>
          <w:szCs w:val="30"/>
        </w:rPr>
        <w:t>户籍管理领域基层政务公开标准目录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"_Toc24724708" </w:instrText>
      </w:r>
      <w:r>
        <w:rPr>
          <w:rFonts w:hint="eastAsia" w:ascii="黑体" w:hAnsi="黑体" w:eastAsia="黑体" w:cs="黑体"/>
          <w:sz w:val="30"/>
          <w:szCs w:val="30"/>
        </w:rPr>
        <w:fldChar w:fldCharType="separate"/>
      </w:r>
      <w:r>
        <w:rPr>
          <w:rFonts w:hint="eastAsia" w:ascii="黑体" w:hAnsi="黑体" w:eastAsia="黑体" w:cs="黑体"/>
          <w:sz w:val="30"/>
          <w:szCs w:val="30"/>
        </w:rPr>
        <w:t>（</w:t>
      </w:r>
      <w:r>
        <w:rPr>
          <w:rFonts w:hint="eastAsia" w:ascii="黑体" w:hAnsi="黑体" w:eastAsia="黑体" w:cs="黑体"/>
          <w:sz w:val="30"/>
          <w:szCs w:val="30"/>
          <w:lang w:eastAsia="zh-CN"/>
        </w:rPr>
        <w:t>二</w:t>
      </w:r>
      <w:r>
        <w:rPr>
          <w:rFonts w:hint="eastAsia" w:ascii="黑体" w:hAnsi="黑体" w:eastAsia="黑体" w:cs="黑体"/>
          <w:sz w:val="30"/>
          <w:szCs w:val="30"/>
        </w:rPr>
        <w:t>）社会救助领域基层政务公开标准目录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4</w:t>
      </w:r>
      <w:r>
        <w:rPr>
          <w:rFonts w:hint="eastAsia" w:ascii="黑体" w:hAnsi="黑体" w:eastAsia="黑体" w:cs="黑体"/>
          <w:sz w:val="30"/>
          <w:szCs w:val="30"/>
        </w:rPr>
        <w:fldChar w:fldCharType="end"/>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"_Toc24724709"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w:t>
      </w:r>
      <w:r>
        <w:rPr>
          <w:rStyle w:val="8"/>
          <w:rFonts w:hint="eastAsia" w:ascii="黑体" w:hAnsi="黑体" w:eastAsia="黑体" w:cs="黑体"/>
          <w:sz w:val="30"/>
          <w:szCs w:val="30"/>
          <w:lang w:eastAsia="zh-CN"/>
        </w:rPr>
        <w:t>三</w:t>
      </w:r>
      <w:r>
        <w:rPr>
          <w:rStyle w:val="8"/>
          <w:rFonts w:hint="eastAsia" w:ascii="黑体" w:hAnsi="黑体" w:eastAsia="黑体" w:cs="黑体"/>
          <w:sz w:val="30"/>
          <w:szCs w:val="30"/>
        </w:rPr>
        <w:t>）养老服务领域基层政务公开标准目录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 xml:space="preserve"> 1</w:t>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0</w:t>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"_Toc24724712"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w:t>
      </w:r>
      <w:r>
        <w:rPr>
          <w:rStyle w:val="8"/>
          <w:rFonts w:hint="eastAsia" w:ascii="黑体" w:hAnsi="黑体" w:eastAsia="黑体" w:cs="黑体"/>
          <w:sz w:val="30"/>
          <w:szCs w:val="30"/>
          <w:lang w:eastAsia="zh-CN"/>
        </w:rPr>
        <w:t>四</w:t>
      </w:r>
      <w:r>
        <w:rPr>
          <w:rStyle w:val="8"/>
          <w:rFonts w:hint="eastAsia" w:ascii="黑体" w:hAnsi="黑体" w:eastAsia="黑体" w:cs="黑体"/>
          <w:sz w:val="30"/>
          <w:szCs w:val="30"/>
        </w:rPr>
        <w:t>）就业领域基层政务公开标准目录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2</w:t>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"_Toc24724713"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w:t>
      </w:r>
      <w:r>
        <w:rPr>
          <w:rStyle w:val="8"/>
          <w:rFonts w:hint="eastAsia" w:ascii="黑体" w:hAnsi="黑体" w:eastAsia="黑体" w:cs="黑体"/>
          <w:sz w:val="30"/>
          <w:szCs w:val="30"/>
          <w:lang w:eastAsia="zh-CN"/>
        </w:rPr>
        <w:t>五</w:t>
      </w:r>
      <w:r>
        <w:rPr>
          <w:rStyle w:val="8"/>
          <w:rFonts w:hint="eastAsia" w:ascii="黑体" w:hAnsi="黑体" w:eastAsia="黑体" w:cs="黑体"/>
          <w:sz w:val="30"/>
          <w:szCs w:val="30"/>
        </w:rPr>
        <w:t>）社会保险领域基层政务公开标准目录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1</w:t>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5</w:t>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"_Toc24724717"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w:t>
      </w:r>
      <w:r>
        <w:rPr>
          <w:rStyle w:val="8"/>
          <w:rFonts w:hint="eastAsia" w:ascii="黑体" w:hAnsi="黑体" w:eastAsia="黑体" w:cs="黑体"/>
          <w:sz w:val="30"/>
          <w:szCs w:val="30"/>
          <w:lang w:eastAsia="zh-CN"/>
        </w:rPr>
        <w:t>六</w:t>
      </w:r>
      <w:r>
        <w:rPr>
          <w:rStyle w:val="8"/>
          <w:rFonts w:hint="eastAsia" w:ascii="黑体" w:hAnsi="黑体" w:eastAsia="黑体" w:cs="黑体"/>
          <w:sz w:val="30"/>
          <w:szCs w:val="30"/>
        </w:rPr>
        <w:t>）</w:t>
      </w:r>
      <w:r>
        <w:rPr>
          <w:rStyle w:val="8"/>
          <w:rFonts w:hint="eastAsia" w:ascii="黑体" w:hAnsi="黑体" w:eastAsia="黑体" w:cs="黑体"/>
          <w:color w:val="auto"/>
          <w:sz w:val="30"/>
          <w:szCs w:val="30"/>
        </w:rPr>
        <w:t>农村集体土地征收基层政务公开标准目录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0</w:t>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"_Toc24724724" </w:instrText>
      </w:r>
      <w:r>
        <w:rPr>
          <w:rFonts w:hint="eastAsia" w:ascii="黑体" w:hAnsi="黑体" w:eastAsia="黑体" w:cs="黑体"/>
          <w:sz w:val="30"/>
          <w:szCs w:val="30"/>
        </w:rPr>
        <w:fldChar w:fldCharType="separate"/>
      </w:r>
      <w:r>
        <w:rPr>
          <w:rStyle w:val="8"/>
          <w:rFonts w:hint="eastAsia" w:ascii="黑体" w:hAnsi="黑体" w:eastAsia="黑体" w:cs="黑体"/>
          <w:color w:val="auto"/>
          <w:sz w:val="30"/>
          <w:szCs w:val="30"/>
        </w:rPr>
        <w:t>（</w:t>
      </w:r>
      <w:r>
        <w:rPr>
          <w:rStyle w:val="8"/>
          <w:rFonts w:hint="eastAsia" w:ascii="黑体" w:hAnsi="黑体" w:eastAsia="黑体" w:cs="黑体"/>
          <w:color w:val="auto"/>
          <w:sz w:val="30"/>
          <w:szCs w:val="30"/>
          <w:lang w:eastAsia="zh-CN"/>
        </w:rPr>
        <w:t>七</w:t>
      </w:r>
      <w:r>
        <w:rPr>
          <w:rStyle w:val="8"/>
          <w:rFonts w:hint="eastAsia" w:ascii="黑体" w:hAnsi="黑体" w:eastAsia="黑体" w:cs="黑体"/>
          <w:color w:val="auto"/>
          <w:sz w:val="30"/>
          <w:szCs w:val="30"/>
        </w:rPr>
        <w:t>）保障性住房领域基层政务公开标准目录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5</w:t>
      </w:r>
      <w:r>
        <w:rPr>
          <w:rFonts w:hint="eastAsia" w:ascii="黑体" w:hAnsi="黑体" w:eastAsia="黑体" w:cs="黑体"/>
          <w:sz w:val="30"/>
          <w:szCs w:val="30"/>
        </w:rPr>
        <w:t xml:space="preserve"> </w:t>
      </w:r>
    </w:p>
    <w:p>
      <w:pPr>
        <w:pStyle w:val="5"/>
        <w:rPr>
          <w:rFonts w:hint="eastAsia" w:ascii="黑体" w:hAnsi="黑体" w:eastAsia="黑体" w:cs="黑体"/>
          <w:sz w:val="30"/>
          <w:szCs w:val="30"/>
        </w:rPr>
      </w:pPr>
    </w:p>
    <w:p>
      <w:pPr>
        <w:jc w:val="left"/>
        <w:rPr>
          <w:rFonts w:hint="eastAsia" w:ascii="黑体" w:hAnsi="黑体" w:eastAsia="黑体" w:cs="黑体"/>
          <w:sz w:val="30"/>
          <w:szCs w:val="30"/>
        </w:rPr>
      </w:pPr>
      <w:r>
        <w:rPr>
          <w:rFonts w:hint="eastAsia" w:ascii="黑体" w:hAnsi="黑体" w:eastAsia="黑体" w:cs="黑体"/>
          <w:sz w:val="30"/>
          <w:szCs w:val="30"/>
        </w:rPr>
        <w:fldChar w:fldCharType="end"/>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28"/>
          <w:szCs w:val="28"/>
        </w:rPr>
      </w:pPr>
    </w:p>
    <w:p>
      <w:pPr>
        <w:pStyle w:val="2"/>
        <w:rPr>
          <w:rFonts w:ascii="仿宋" w:hAnsi="仿宋" w:eastAsia="仿宋" w:cs="仿宋"/>
          <w:sz w:val="32"/>
          <w:szCs w:val="32"/>
        </w:rPr>
        <w:sectPr>
          <w:footerReference r:id="rId6" w:type="default"/>
          <w:pgSz w:w="16838" w:h="11906" w:orient="landscape"/>
          <w:pgMar w:top="1304" w:right="1304" w:bottom="1304" w:left="1304" w:header="851" w:footer="992" w:gutter="0"/>
          <w:pgNumType w:fmt="decimal"/>
          <w:cols w:space="0" w:num="1"/>
          <w:docGrid w:type="lines" w:linePitch="312" w:charSpace="0"/>
        </w:sectPr>
      </w:pPr>
      <w:bookmarkStart w:id="0" w:name="_Toc24724707"/>
    </w:p>
    <w:p>
      <w:pPr>
        <w:pStyle w:val="2"/>
        <w:jc w:val="center"/>
        <w:rPr>
          <w:rFonts w:hint="eastAsia" w:ascii="仿宋" w:hAnsi="仿宋" w:eastAsia="仿宋" w:cs="仿宋"/>
          <w:sz w:val="32"/>
          <w:szCs w:val="32"/>
        </w:rPr>
      </w:pPr>
    </w:p>
    <w:p>
      <w:pPr>
        <w:pStyle w:val="2"/>
        <w:jc w:val="center"/>
        <w:rPr>
          <w:rFonts w:hint="eastAsia" w:ascii="仿宋" w:hAnsi="仿宋" w:eastAsia="仿宋" w:cs="仿宋"/>
          <w:sz w:val="32"/>
          <w:szCs w:val="32"/>
        </w:rPr>
      </w:pPr>
    </w:p>
    <w:p>
      <w:pPr>
        <w:pStyle w:val="2"/>
        <w:jc w:val="center"/>
        <w:rPr>
          <w:rFonts w:hint="eastAsia" w:ascii="仿宋" w:hAnsi="仿宋" w:eastAsia="仿宋" w:cs="仿宋"/>
          <w:sz w:val="32"/>
          <w:szCs w:val="32"/>
        </w:rPr>
      </w:pPr>
    </w:p>
    <w:p>
      <w:pPr>
        <w:pStyle w:val="2"/>
        <w:jc w:val="center"/>
        <w:rPr>
          <w:rFonts w:hint="eastAsia" w:ascii="仿宋" w:hAnsi="仿宋" w:eastAsia="仿宋" w:cs="仿宋"/>
          <w:sz w:val="32"/>
          <w:szCs w:val="32"/>
        </w:rPr>
      </w:pPr>
    </w:p>
    <w:p>
      <w:pPr>
        <w:pStyle w:val="2"/>
        <w:jc w:val="center"/>
        <w:rPr>
          <w:rFonts w:hint="eastAsia" w:ascii="仿宋" w:hAnsi="仿宋" w:eastAsia="仿宋" w:cs="仿宋"/>
          <w:sz w:val="32"/>
          <w:szCs w:val="32"/>
        </w:rPr>
      </w:pPr>
    </w:p>
    <w:p>
      <w:pPr>
        <w:pStyle w:val="2"/>
        <w:jc w:val="center"/>
        <w:rPr>
          <w:rFonts w:hint="eastAsia" w:ascii="仿宋" w:hAnsi="仿宋" w:eastAsia="仿宋" w:cs="仿宋"/>
          <w:sz w:val="32"/>
          <w:szCs w:val="32"/>
        </w:rPr>
      </w:pPr>
    </w:p>
    <w:p>
      <w:pPr>
        <w:pStyle w:val="2"/>
        <w:jc w:val="center"/>
        <w:rPr>
          <w:rFonts w:hint="eastAsia" w:ascii="仿宋" w:hAnsi="仿宋" w:eastAsia="仿宋" w:cs="仿宋"/>
          <w:sz w:val="32"/>
          <w:szCs w:val="32"/>
        </w:rPr>
      </w:pPr>
    </w:p>
    <w:p>
      <w:pPr>
        <w:pStyle w:val="2"/>
        <w:jc w:val="center"/>
        <w:rPr>
          <w:rFonts w:hint="eastAsia" w:ascii="仿宋" w:hAnsi="仿宋" w:eastAsia="仿宋" w:cs="仿宋"/>
          <w:sz w:val="32"/>
          <w:szCs w:val="32"/>
        </w:rPr>
      </w:pPr>
    </w:p>
    <w:p>
      <w:pPr>
        <w:pStyle w:val="2"/>
        <w:jc w:val="center"/>
        <w:rPr>
          <w:rFonts w:hint="eastAsia" w:ascii="仿宋" w:hAnsi="仿宋" w:eastAsia="仿宋" w:cs="仿宋"/>
          <w:sz w:val="32"/>
          <w:szCs w:val="32"/>
        </w:rPr>
        <w:sectPr>
          <w:footerReference r:id="rId7" w:type="default"/>
          <w:pgSz w:w="16838" w:h="11906" w:orient="landscape"/>
          <w:pgMar w:top="1304" w:right="1304" w:bottom="1304" w:left="1304" w:header="851" w:footer="992" w:gutter="0"/>
          <w:pgNumType w:fmt="decimal"/>
          <w:cols w:space="0" w:num="1"/>
          <w:docGrid w:type="lines" w:linePitch="312" w:charSpace="0"/>
        </w:sectPr>
      </w:pPr>
    </w:p>
    <w:p>
      <w:pPr>
        <w:pStyle w:val="2"/>
        <w:jc w:val="center"/>
        <w:rPr>
          <w:rFonts w:ascii="仿宋" w:hAnsi="仿宋" w:eastAsia="仿宋" w:cs="仿宋"/>
          <w:sz w:val="32"/>
          <w:szCs w:val="32"/>
        </w:rPr>
      </w:pPr>
      <w:r>
        <w:rPr>
          <w:rFonts w:hint="eastAsia" w:ascii="仿宋" w:hAnsi="仿宋" w:eastAsia="仿宋" w:cs="仿宋"/>
          <w:sz w:val="32"/>
          <w:szCs w:val="32"/>
        </w:rPr>
        <w:t>（一）户籍管理领域基层政务公开标准目录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序号</w:t>
            </w:r>
          </w:p>
        </w:tc>
        <w:tc>
          <w:tcPr>
            <w:tcW w:w="1800" w:type="dxa"/>
            <w:gridSpan w:val="2"/>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spacing w:line="240" w:lineRule="atLeast"/>
              <w:rPr>
                <w:rFonts w:hint="eastAsia"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公开依据</w:t>
            </w:r>
          </w:p>
        </w:tc>
        <w:tc>
          <w:tcPr>
            <w:tcW w:w="1620" w:type="dxa"/>
            <w:vMerge w:val="restart"/>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公开时限</w:t>
            </w:r>
          </w:p>
        </w:tc>
        <w:tc>
          <w:tcPr>
            <w:tcW w:w="1080" w:type="dxa"/>
            <w:vMerge w:val="restart"/>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vAlign w:val="center"/>
          </w:tcPr>
          <w:p>
            <w:pPr>
              <w:widowControl/>
              <w:spacing w:line="240" w:lineRule="atLeast"/>
              <w:jc w:val="center"/>
              <w:rPr>
                <w:rFonts w:hint="eastAsia"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spacing w:line="240" w:lineRule="atLeast"/>
              <w:jc w:val="left"/>
              <w:rPr>
                <w:rFonts w:hint="eastAsia" w:ascii="黑体" w:hAnsi="黑体" w:eastAsia="黑体" w:cs="黑体"/>
                <w:color w:val="000000"/>
                <w:kern w:val="0"/>
                <w:sz w:val="22"/>
              </w:rPr>
            </w:pPr>
          </w:p>
        </w:tc>
        <w:tc>
          <w:tcPr>
            <w:tcW w:w="90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一级事项</w:t>
            </w:r>
          </w:p>
        </w:tc>
        <w:tc>
          <w:tcPr>
            <w:tcW w:w="90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spacing w:line="240" w:lineRule="atLeast"/>
              <w:rPr>
                <w:rFonts w:hint="eastAsia" w:ascii="黑体" w:hAnsi="黑体" w:eastAsia="黑体" w:cs="黑体"/>
                <w:color w:val="000000"/>
                <w:kern w:val="0"/>
                <w:sz w:val="22"/>
              </w:rPr>
            </w:pPr>
          </w:p>
        </w:tc>
        <w:tc>
          <w:tcPr>
            <w:tcW w:w="2520" w:type="dxa"/>
            <w:vMerge w:val="continue"/>
            <w:vAlign w:val="center"/>
          </w:tcPr>
          <w:p>
            <w:pPr>
              <w:widowControl/>
              <w:spacing w:line="240" w:lineRule="atLeast"/>
              <w:jc w:val="left"/>
              <w:rPr>
                <w:rFonts w:hint="eastAsia" w:ascii="黑体" w:hAnsi="黑体" w:eastAsia="黑体" w:cs="黑体"/>
                <w:color w:val="000000"/>
                <w:kern w:val="0"/>
                <w:sz w:val="22"/>
              </w:rPr>
            </w:pPr>
          </w:p>
        </w:tc>
        <w:tc>
          <w:tcPr>
            <w:tcW w:w="1620" w:type="dxa"/>
            <w:vMerge w:val="continue"/>
            <w:vAlign w:val="center"/>
          </w:tcPr>
          <w:p>
            <w:pPr>
              <w:widowControl/>
              <w:spacing w:line="240" w:lineRule="atLeast"/>
              <w:jc w:val="left"/>
              <w:rPr>
                <w:rFonts w:hint="eastAsia" w:ascii="黑体" w:hAnsi="黑体" w:eastAsia="黑体" w:cs="黑体"/>
                <w:color w:val="000000"/>
                <w:kern w:val="0"/>
                <w:sz w:val="22"/>
              </w:rPr>
            </w:pPr>
          </w:p>
        </w:tc>
        <w:tc>
          <w:tcPr>
            <w:tcW w:w="1080" w:type="dxa"/>
            <w:vMerge w:val="continue"/>
            <w:vAlign w:val="center"/>
          </w:tcPr>
          <w:p>
            <w:pPr>
              <w:widowControl/>
              <w:spacing w:line="240" w:lineRule="atLeast"/>
              <w:jc w:val="left"/>
              <w:rPr>
                <w:rFonts w:hint="eastAsia" w:ascii="黑体" w:hAnsi="黑体" w:eastAsia="黑体" w:cs="黑体"/>
                <w:color w:val="000000"/>
                <w:kern w:val="0"/>
                <w:sz w:val="22"/>
              </w:rPr>
            </w:pPr>
          </w:p>
        </w:tc>
        <w:tc>
          <w:tcPr>
            <w:tcW w:w="1800" w:type="dxa"/>
            <w:vMerge w:val="continue"/>
            <w:vAlign w:val="center"/>
          </w:tcPr>
          <w:p>
            <w:pPr>
              <w:widowControl/>
              <w:spacing w:line="240" w:lineRule="atLeast"/>
              <w:jc w:val="left"/>
              <w:rPr>
                <w:rFonts w:hint="eastAsia" w:ascii="黑体" w:hAnsi="黑体" w:eastAsia="黑体" w:cs="黑体"/>
                <w:kern w:val="0"/>
                <w:sz w:val="22"/>
              </w:rPr>
            </w:pPr>
          </w:p>
        </w:tc>
        <w:tc>
          <w:tcPr>
            <w:tcW w:w="54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900" w:type="dxa"/>
            <w:vMerge w:val="restart"/>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lang w:eastAsia="zh-CN"/>
              </w:rPr>
              <w:t>居</w:t>
            </w:r>
            <w:r>
              <w:rPr>
                <w:rFonts w:hint="eastAsia" w:ascii="仿宋_GB2312" w:hAnsi="宋体" w:eastAsia="仿宋_GB2312"/>
                <w:color w:val="000000"/>
                <w:sz w:val="20"/>
                <w:szCs w:val="20"/>
              </w:rPr>
              <w:t>住登记及居住证管理</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lang w:eastAsia="zh-CN"/>
              </w:rPr>
              <w:t>居</w:t>
            </w:r>
            <w:r>
              <w:rPr>
                <w:rFonts w:hint="eastAsia" w:ascii="仿宋_GB2312" w:hAnsi="宋体" w:eastAsia="仿宋_GB2312"/>
                <w:color w:val="000000"/>
                <w:sz w:val="20"/>
                <w:szCs w:val="20"/>
              </w:rPr>
              <w:t>住登记</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■广州市花都区新华街来穗人员和出租屋服务管理中心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2</w:t>
            </w:r>
          </w:p>
        </w:tc>
        <w:tc>
          <w:tcPr>
            <w:tcW w:w="900" w:type="dxa"/>
            <w:vMerge w:val="continue"/>
            <w:vAlign w:val="center"/>
          </w:tcPr>
          <w:p>
            <w:pPr>
              <w:widowControl/>
              <w:spacing w:line="240" w:lineRule="atLeast"/>
              <w:jc w:val="center"/>
              <w:textAlignment w:val="center"/>
              <w:rPr>
                <w:rFonts w:ascii="仿宋_GB2312" w:hAnsi="宋体" w:eastAsia="仿宋_GB2312"/>
                <w:color w:val="000000"/>
                <w:sz w:val="20"/>
                <w:szCs w:val="20"/>
              </w:rPr>
            </w:pP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居住证申领</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■广州市花都区新华街来穗人员和出租屋服务管理中心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3</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lang w:eastAsia="zh-CN"/>
              </w:rPr>
              <w:t>居</w:t>
            </w:r>
            <w:r>
              <w:rPr>
                <w:rFonts w:hint="eastAsia" w:ascii="仿宋_GB2312" w:hAnsi="宋体" w:eastAsia="仿宋_GB2312"/>
                <w:color w:val="000000"/>
                <w:sz w:val="20"/>
                <w:szCs w:val="20"/>
              </w:rPr>
              <w:t>住登记及居住证管理</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居住证换、补领</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pStyle w:val="2"/>
              <w:keepNext w:val="0"/>
              <w:keepLines w:val="0"/>
              <w:widowControl/>
              <w:spacing w:before="300" w:after="0" w:line="23" w:lineRule="atLeast"/>
              <w:jc w:val="left"/>
              <w:rPr>
                <w:rFonts w:ascii="仿宋_GB2312" w:hAnsi="宋体" w:eastAsia="仿宋_GB2312"/>
                <w:sz w:val="20"/>
                <w:szCs w:val="20"/>
              </w:rPr>
            </w:pPr>
            <w:r>
              <w:rPr>
                <w:rFonts w:hint="eastAsia" w:ascii="仿宋_GB2312" w:hAnsi="仿宋_GB2312" w:eastAsia="仿宋_GB2312" w:cs="仿宋_GB2312"/>
                <w:b w:val="0"/>
                <w:bCs w:val="0"/>
                <w:sz w:val="20"/>
                <w:szCs w:val="20"/>
              </w:rPr>
              <w:t>《居住证暂行条例》、《政府信息公开条例》、《</w:t>
            </w:r>
            <w:r>
              <w:rPr>
                <w:rStyle w:val="12"/>
                <w:rFonts w:hint="eastAsia" w:ascii="仿宋_GB2312" w:hAnsi="仿宋_GB2312" w:eastAsia="仿宋_GB2312" w:cs="仿宋_GB2312"/>
                <w:b w:val="0"/>
                <w:bCs w:val="0"/>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■广州市花都区新华街来穗人员和出租屋服务管理中心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4</w:t>
            </w:r>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lang w:eastAsia="zh-CN"/>
              </w:rPr>
              <w:t>居</w:t>
            </w:r>
            <w:r>
              <w:rPr>
                <w:rFonts w:hint="eastAsia" w:ascii="仿宋_GB2312" w:hAnsi="宋体" w:eastAsia="仿宋_GB2312"/>
                <w:color w:val="000000"/>
                <w:sz w:val="20"/>
                <w:szCs w:val="20"/>
              </w:rPr>
              <w:t>住登记及居住证管理</w:t>
            </w:r>
            <w:bookmarkStart w:id="5" w:name="_GoBack"/>
            <w:bookmarkEnd w:id="5"/>
          </w:p>
        </w:tc>
        <w:tc>
          <w:tcPr>
            <w:tcW w:w="90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居住证签注</w:t>
            </w:r>
          </w:p>
        </w:tc>
        <w:tc>
          <w:tcPr>
            <w:tcW w:w="216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ascii="仿宋_GB2312" w:hAnsi="宋体" w:eastAsia="仿宋_GB2312"/>
                <w:sz w:val="20"/>
                <w:szCs w:val="20"/>
              </w:rPr>
            </w:pPr>
            <w:r>
              <w:rPr>
                <w:rFonts w:hint="eastAsia" w:ascii="仿宋_GB2312" w:hAnsi="宋体" w:eastAsia="仿宋_GB2312"/>
                <w:sz w:val="20"/>
                <w:szCs w:val="20"/>
              </w:rPr>
              <w:t>《</w:t>
            </w:r>
            <w:r>
              <w:rPr>
                <w:rFonts w:hint="eastAsia" w:ascii="仿宋_GB2312" w:hAnsi="仿宋_GB2312" w:eastAsia="仿宋_GB2312" w:cs="仿宋_GB2312"/>
                <w:sz w:val="20"/>
                <w:szCs w:val="20"/>
              </w:rPr>
              <w:t>居住证暂行条例》、《政府信息公开条例》、《</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widowControl/>
              <w:spacing w:line="240" w:lineRule="atLeast"/>
              <w:jc w:val="left"/>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■广州市花都区新华街来穗人员和出租屋服务管理中心</w:t>
            </w:r>
          </w:p>
        </w:tc>
        <w:tc>
          <w:tcPr>
            <w:tcW w:w="54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widowControl/>
              <w:spacing w:line="240" w:lineRule="atLeast"/>
              <w:rPr>
                <w:rFonts w:ascii="仿宋_GB2312" w:hAnsi="宋体" w:eastAsia="仿宋_GB2312"/>
                <w:color w:val="000000"/>
                <w:sz w:val="20"/>
                <w:szCs w:val="20"/>
              </w:rPr>
            </w:pPr>
          </w:p>
        </w:tc>
        <w:tc>
          <w:tcPr>
            <w:tcW w:w="551"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rPr>
                <w:rFonts w:ascii="仿宋_GB2312" w:hAnsi="宋体" w:eastAsia="仿宋_GB2312"/>
                <w:color w:val="000000"/>
                <w:sz w:val="20"/>
                <w:szCs w:val="20"/>
              </w:rPr>
            </w:pP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widowControl/>
              <w:spacing w:line="240" w:lineRule="atLeast"/>
              <w:jc w:val="center"/>
              <w:textAlignment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bl>
    <w:p>
      <w:pPr>
        <w:pStyle w:val="2"/>
        <w:spacing w:line="400" w:lineRule="exact"/>
        <w:rPr>
          <w:rFonts w:ascii="仿宋" w:hAnsi="仿宋" w:eastAsia="仿宋"/>
          <w:kern w:val="2"/>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2"/>
        <w:jc w:val="center"/>
        <w:rPr>
          <w:rFonts w:ascii="方正小标宋_GBK" w:hAnsi="方正小标宋_GBK" w:eastAsia="方正小标宋_GBK"/>
          <w:b w:val="0"/>
          <w:bCs w:val="0"/>
          <w:sz w:val="32"/>
          <w:szCs w:val="32"/>
        </w:rPr>
      </w:pPr>
      <w:r>
        <w:rPr>
          <w:rFonts w:ascii="仿宋" w:hAnsi="仿宋" w:eastAsia="仿宋"/>
          <w:kern w:val="2"/>
          <w:sz w:val="32"/>
          <w:szCs w:val="32"/>
        </w:rPr>
        <w:t>（</w:t>
      </w:r>
      <w:r>
        <w:rPr>
          <w:rFonts w:hint="eastAsia" w:ascii="仿宋" w:hAnsi="仿宋" w:eastAsia="仿宋"/>
          <w:kern w:val="2"/>
          <w:sz w:val="32"/>
          <w:szCs w:val="32"/>
          <w:lang w:eastAsia="zh-CN"/>
        </w:rPr>
        <w:t>二</w:t>
      </w:r>
      <w:r>
        <w:rPr>
          <w:rFonts w:ascii="仿宋" w:hAnsi="仿宋" w:eastAsia="仿宋"/>
          <w:kern w:val="2"/>
          <w:sz w:val="32"/>
          <w:szCs w:val="32"/>
        </w:rPr>
        <w:t>）社会救助领域基层政务公开标准目录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序号</w:t>
            </w:r>
          </w:p>
        </w:tc>
        <w:tc>
          <w:tcPr>
            <w:tcW w:w="1440" w:type="dxa"/>
            <w:gridSpan w:val="2"/>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公开依据</w:t>
            </w:r>
          </w:p>
        </w:tc>
        <w:tc>
          <w:tcPr>
            <w:tcW w:w="144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公开时限</w:t>
            </w:r>
          </w:p>
        </w:tc>
        <w:tc>
          <w:tcPr>
            <w:tcW w:w="162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黑体" w:hAnsi="黑体" w:eastAsia="黑体" w:cs="黑体"/>
                <w:color w:val="000000"/>
                <w:kern w:val="0"/>
                <w:sz w:val="22"/>
              </w:rPr>
            </w:pP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一级事项</w:t>
            </w: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jc w:val="left"/>
              <w:rPr>
                <w:rFonts w:hint="eastAsia" w:ascii="黑体" w:hAnsi="黑体" w:eastAsia="黑体" w:cs="黑体"/>
                <w:color w:val="000000"/>
                <w:kern w:val="0"/>
                <w:sz w:val="22"/>
              </w:rPr>
            </w:pPr>
          </w:p>
        </w:tc>
        <w:tc>
          <w:tcPr>
            <w:tcW w:w="2520" w:type="dxa"/>
            <w:vMerge w:val="continue"/>
            <w:vAlign w:val="center"/>
          </w:tcPr>
          <w:p>
            <w:pPr>
              <w:widowControl/>
              <w:jc w:val="left"/>
              <w:rPr>
                <w:rFonts w:hint="eastAsia" w:ascii="黑体" w:hAnsi="黑体" w:eastAsia="黑体" w:cs="黑体"/>
                <w:color w:val="000000"/>
                <w:kern w:val="0"/>
                <w:sz w:val="22"/>
              </w:rPr>
            </w:pPr>
          </w:p>
        </w:tc>
        <w:tc>
          <w:tcPr>
            <w:tcW w:w="1440" w:type="dxa"/>
            <w:vMerge w:val="continue"/>
            <w:vAlign w:val="center"/>
          </w:tcPr>
          <w:p>
            <w:pPr>
              <w:widowControl/>
              <w:jc w:val="left"/>
              <w:rPr>
                <w:rFonts w:hint="eastAsia" w:ascii="黑体" w:hAnsi="黑体" w:eastAsia="黑体" w:cs="黑体"/>
                <w:color w:val="000000"/>
                <w:kern w:val="0"/>
                <w:sz w:val="22"/>
              </w:rPr>
            </w:pPr>
          </w:p>
        </w:tc>
        <w:tc>
          <w:tcPr>
            <w:tcW w:w="1620" w:type="dxa"/>
            <w:vMerge w:val="continue"/>
            <w:vAlign w:val="center"/>
          </w:tcPr>
          <w:p>
            <w:pPr>
              <w:widowControl/>
              <w:jc w:val="left"/>
              <w:rPr>
                <w:rFonts w:hint="eastAsia" w:ascii="黑体" w:hAnsi="黑体" w:eastAsia="黑体" w:cs="黑体"/>
                <w:color w:val="000000"/>
                <w:kern w:val="0"/>
                <w:sz w:val="22"/>
              </w:rPr>
            </w:pPr>
          </w:p>
        </w:tc>
        <w:tc>
          <w:tcPr>
            <w:tcW w:w="1800" w:type="dxa"/>
            <w:vMerge w:val="continue"/>
            <w:vAlign w:val="center"/>
          </w:tcPr>
          <w:p>
            <w:pPr>
              <w:widowControl/>
              <w:jc w:val="left"/>
              <w:rPr>
                <w:rFonts w:hint="eastAsia" w:ascii="黑体" w:hAnsi="黑体" w:eastAsia="黑体" w:cs="黑体"/>
                <w:kern w:val="0"/>
                <w:sz w:val="22"/>
              </w:rPr>
            </w:pPr>
          </w:p>
        </w:tc>
        <w:tc>
          <w:tcPr>
            <w:tcW w:w="54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综合业务</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《社会救助暂行办法》《广东省社会救助条例》</w:t>
            </w:r>
            <w:r>
              <w:rPr>
                <w:rFonts w:hint="eastAsia" w:ascii="仿宋_GB2312" w:hAnsi="宋体" w:eastAsia="仿宋_GB2312"/>
                <w:color w:val="000000"/>
                <w:sz w:val="20"/>
                <w:szCs w:val="20"/>
              </w:rPr>
              <w:t xml:space="preserve">                </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■新华街政务服务中心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2</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监督</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检查</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社会救助信访通讯地址</w:t>
            </w:r>
            <w:r>
              <w:rPr>
                <w:rFonts w:hint="eastAsia" w:ascii="仿宋_GB2312" w:hAnsi="宋体" w:eastAsia="仿宋_GB2312"/>
                <w:sz w:val="20"/>
                <w:szCs w:val="20"/>
              </w:rPr>
              <w:br w:type="textWrapping"/>
            </w:r>
            <w:r>
              <w:rPr>
                <w:rFonts w:hint="eastAsia" w:ascii="仿宋_GB2312" w:hAnsi="宋体" w:eastAsia="仿宋_GB2312"/>
                <w:sz w:val="20"/>
                <w:szCs w:val="20"/>
              </w:rPr>
              <w:t>社会救助投诉举报电话</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■新华街政务服务中心                                                                                                                                                                                                                                                                                                                                                                                                       </w:t>
            </w:r>
          </w:p>
          <w:p>
            <w:pPr>
              <w:rPr>
                <w:rFonts w:hint="eastAsia" w:ascii="仿宋_GB2312" w:hAnsi="宋体" w:eastAsia="仿宋_GB2312"/>
                <w:color w:val="000000"/>
                <w:sz w:val="20"/>
                <w:szCs w:val="20"/>
              </w:rPr>
            </w:pPr>
            <w:r>
              <w:rPr>
                <w:rFonts w:hint="eastAsia" w:ascii="仿宋_GB2312" w:hAnsi="宋体" w:eastAsia="仿宋_GB2312"/>
                <w:color w:val="000000"/>
                <w:sz w:val="20"/>
                <w:szCs w:val="20"/>
              </w:rPr>
              <w:t>■社区/企事业单位/村公示栏（电子屏）</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3</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最低生活保障</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最低生活保障审核审批办法（试行）》、《广东省最低生活保障制度实施办法》、《广东省最低生活保障家庭经济状况核对和生活状况评估认定办法》</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■新华街政务服务中心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4</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■新华街政务服务中心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5</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最低生活保障</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初审对象名单及相关信息</w:t>
            </w:r>
            <w:r>
              <w:rPr>
                <w:rFonts w:hint="eastAsia" w:ascii="仿宋_GB2312" w:hAnsi="宋体" w:eastAsia="仿宋_GB2312"/>
                <w:color w:val="000000"/>
                <w:sz w:val="20"/>
                <w:szCs w:val="20"/>
              </w:rPr>
              <w:t xml:space="preserve">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6</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低保对象名单及相关信息</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《国务院关于进一步加强和改进最低生活保障工作的意见》、《广东省最低生活保障制度实施办法》、《广东省最低生活保障家庭经济状况核对和生活状况评估认定办法》等相关政策法规文件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7</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*低收入困难家庭救助申请</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 xml:space="preserve">初审对象名单及相关信息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《国务院关于进一步加强和改进最低生活保障工作的意见》、《广州市民政局关于规范广州市低收入困难家庭救助工作的通知》、《广州市民政局 广州市财政局关于对我市低收入居民实行分类救济的通知》等相关政策法规文件</w:t>
            </w:r>
          </w:p>
        </w:tc>
        <w:tc>
          <w:tcPr>
            <w:tcW w:w="14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8</w:t>
            </w:r>
          </w:p>
        </w:tc>
        <w:tc>
          <w:tcPr>
            <w:tcW w:w="720" w:type="dxa"/>
            <w:vMerge w:val="continue"/>
            <w:vAlign w:val="center"/>
          </w:tcPr>
          <w:p>
            <w:pPr>
              <w:jc w:val="cente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低收对象名单及相关信息</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sz w:val="20"/>
                <w:szCs w:val="20"/>
              </w:rPr>
              <w:t>《国务院关于进一步加强和改进最低生活保障工作的意见》、《广州市民政局关于规范广州市低收入困难家庭救助工作的通知》、《广州市民政局 广州市财政局关于对我市低收入居民实行分类救济的通知》等相关政策法规文件</w:t>
            </w:r>
          </w:p>
        </w:tc>
        <w:tc>
          <w:tcPr>
            <w:tcW w:w="14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jc w:val="left"/>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jc w:val="left"/>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9</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特困人员救助供养</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jc w:val="left"/>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特困人员认定办法》的通知、民政部关于贯彻落实《国务院关于进一步健全特困人员救助供养制度的意见》的通知、《广东省人民政府关于进一步健全特困人员救助供养制度的实施意见》</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■新华街政务服务中心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10</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 xml:space="preserve">办理事项、办理条件、救助供养标准、申请材料、办理流程、办理时间、地点、联系方式 </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■新华街政务服务中心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11</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特困人员救助供养</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初审对象名单及相关信息、终止供养名单</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制定或获取信息之日起10个工作日内，公示7个工作日</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12</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审批   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特困人员名单及相关信息</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进一步健全特困人员救助供养制度的意见》、《民政部关于印发&lt;特困人员认定办法&gt;的通知》、《民政部关于贯彻落实&lt;国务院关于进一步健全特困人员救助供养制度的意见&gt;的通知》、《广东省人民政府关于进一步健全特困人员救助供养制度的实施意见》等相关政策法规文件</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13</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临时救助</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政策</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法规</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文件</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《国务院关于全面建立临时救助制度的通知》、《民政部 财政部关于进一步加强和改进临时救助工作的意见》、《广州市临时救助办法》</w:t>
            </w:r>
          </w:p>
        </w:tc>
        <w:tc>
          <w:tcPr>
            <w:tcW w:w="25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《信息公开条例》及相关规定</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■新华街政务服务中心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14</w:t>
            </w:r>
          </w:p>
        </w:tc>
        <w:tc>
          <w:tcPr>
            <w:tcW w:w="720" w:type="dxa"/>
            <w:vMerge w:val="restart"/>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临时救助</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办事  指南</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办理事项、办理条件、救助标准、申请材料、办理流程、办理时间、地点、联系方式</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《国务院关于全面建立临时救助制度的通知》、《广州市临时救助办法》</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r>
              <w:rPr>
                <w:rFonts w:hint="eastAsia" w:ascii="仿宋_GB2312" w:hAnsi="宋体" w:eastAsia="仿宋_GB2312"/>
                <w:color w:val="000000"/>
                <w:sz w:val="20"/>
                <w:szCs w:val="20"/>
                <w:lang w:eastAsia="zh-CN"/>
              </w:rPr>
              <w:t>新华街</w:t>
            </w:r>
            <w:r>
              <w:rPr>
                <w:rFonts w:hint="eastAsia" w:ascii="仿宋_GB2312" w:hAnsi="宋体" w:eastAsia="仿宋_GB2312"/>
                <w:color w:val="000000"/>
                <w:sz w:val="20"/>
                <w:szCs w:val="20"/>
              </w:rPr>
              <w:t xml:space="preserve">政务服务中心                                                                                                                                                                                                                                                                                                                                                                                                      </w:t>
            </w:r>
          </w:p>
          <w:p>
            <w:pP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15</w:t>
            </w:r>
          </w:p>
        </w:tc>
        <w:tc>
          <w:tcPr>
            <w:tcW w:w="720" w:type="dxa"/>
            <w:vMerge w:val="continue"/>
            <w:vAlign w:val="center"/>
          </w:tcPr>
          <w:p>
            <w:pPr>
              <w:rPr>
                <w:rFonts w:ascii="仿宋_GB2312" w:hAnsi="宋体" w:eastAsia="仿宋_GB2312"/>
                <w:color w:val="000000"/>
                <w:sz w:val="20"/>
                <w:szCs w:val="20"/>
              </w:rPr>
            </w:pP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审核</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审批</w:t>
            </w:r>
            <w:r>
              <w:rPr>
                <w:rFonts w:hint="eastAsia" w:ascii="仿宋_GB2312" w:hAnsi="宋体" w:eastAsia="仿宋_GB2312"/>
                <w:color w:val="000000"/>
                <w:sz w:val="20"/>
                <w:szCs w:val="20"/>
              </w:rPr>
              <w:br w:type="textWrapping"/>
            </w:r>
            <w:r>
              <w:rPr>
                <w:rFonts w:hint="eastAsia" w:ascii="仿宋_GB2312" w:hAnsi="宋体" w:eastAsia="仿宋_GB2312"/>
                <w:color w:val="000000"/>
                <w:sz w:val="20"/>
                <w:szCs w:val="20"/>
              </w:rPr>
              <w:t>信息</w:t>
            </w:r>
          </w:p>
        </w:tc>
        <w:tc>
          <w:tcPr>
            <w:tcW w:w="216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紧急型、支出型临时救助对象名单、救助金额、救助事由</w:t>
            </w:r>
          </w:p>
        </w:tc>
        <w:tc>
          <w:tcPr>
            <w:tcW w:w="2520" w:type="dxa"/>
            <w:vAlign w:val="center"/>
          </w:tcPr>
          <w:p>
            <w:pPr>
              <w:rPr>
                <w:rFonts w:ascii="仿宋_GB2312" w:hAnsi="宋体" w:eastAsia="仿宋_GB2312"/>
                <w:color w:val="000000"/>
                <w:sz w:val="20"/>
                <w:szCs w:val="20"/>
              </w:rPr>
            </w:pPr>
            <w:r>
              <w:rPr>
                <w:rFonts w:hint="eastAsia" w:ascii="仿宋_GB2312" w:hAnsi="宋体" w:eastAsia="仿宋_GB2312"/>
                <w:sz w:val="20"/>
                <w:szCs w:val="20"/>
              </w:rPr>
              <w:t>《国务院关于全面建立临时救助制度的通知》、《广州市临时救助办法》</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制定或获取信息之日起10个工作日内</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800" w:type="dxa"/>
            <w:vAlign w:val="center"/>
          </w:tcPr>
          <w:p>
            <w:pPr>
              <w:rPr>
                <w:rFonts w:hint="eastAsia" w:ascii="仿宋_GB2312" w:hAnsi="宋体" w:eastAsia="仿宋_GB2312"/>
                <w:color w:val="000000"/>
                <w:sz w:val="20"/>
                <w:szCs w:val="20"/>
              </w:rPr>
            </w:pPr>
            <w:r>
              <w:rPr>
                <w:rFonts w:hint="eastAsia" w:ascii="仿宋_GB2312" w:hAnsi="宋体" w:eastAsia="仿宋_GB2312"/>
                <w:color w:val="000000"/>
                <w:sz w:val="20"/>
                <w:szCs w:val="20"/>
              </w:rPr>
              <w:t xml:space="preserve">                                                                                                                                                                                                    ■社区/企事业单位/村公示栏（电子屏）  </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r>
    </w:tbl>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jc w:val="both"/>
        <w:rPr>
          <w:rFonts w:ascii="Times New Roman" w:hAnsi="Times New Roman" w:eastAsia="方正小标宋_GBK"/>
          <w:sz w:val="28"/>
          <w:szCs w:val="28"/>
        </w:rPr>
      </w:pPr>
    </w:p>
    <w:p>
      <w:pPr>
        <w:jc w:val="both"/>
        <w:rPr>
          <w:rFonts w:ascii="Times New Roman" w:hAnsi="Times New Roman" w:eastAsia="方正小标宋_GBK"/>
          <w:sz w:val="28"/>
          <w:szCs w:val="28"/>
        </w:rPr>
      </w:pPr>
    </w:p>
    <w:p>
      <w:pPr>
        <w:jc w:val="both"/>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）养老服务领域基层政务公开标准目录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hint="eastAsia" w:ascii="黑体" w:hAnsi="黑体" w:eastAsia="黑体" w:cs="黑体"/>
                <w:color w:val="000000"/>
                <w:kern w:val="0"/>
                <w:sz w:val="22"/>
              </w:rPr>
            </w:pPr>
            <w:bookmarkStart w:id="1" w:name="_Toc24724710"/>
            <w:r>
              <w:rPr>
                <w:rFonts w:hint="eastAsia" w:ascii="黑体" w:hAnsi="黑体" w:eastAsia="黑体" w:cs="黑体"/>
                <w:color w:val="000000"/>
                <w:kern w:val="0"/>
                <w:sz w:val="22"/>
              </w:rPr>
              <w:t>序号</w:t>
            </w:r>
          </w:p>
        </w:tc>
        <w:tc>
          <w:tcPr>
            <w:tcW w:w="2160" w:type="dxa"/>
            <w:gridSpan w:val="2"/>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公开事项</w:t>
            </w:r>
          </w:p>
        </w:tc>
        <w:tc>
          <w:tcPr>
            <w:tcW w:w="288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198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公开依据</w:t>
            </w:r>
          </w:p>
        </w:tc>
        <w:tc>
          <w:tcPr>
            <w:tcW w:w="126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公开时限</w:t>
            </w:r>
          </w:p>
        </w:tc>
        <w:tc>
          <w:tcPr>
            <w:tcW w:w="1080" w:type="dxa"/>
            <w:vMerge w:val="restart"/>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公开主体</w:t>
            </w:r>
          </w:p>
        </w:tc>
        <w:tc>
          <w:tcPr>
            <w:tcW w:w="1620" w:type="dxa"/>
            <w:vMerge w:val="restart"/>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hint="eastAsia" w:ascii="黑体" w:hAnsi="黑体" w:eastAsia="黑体" w:cs="黑体"/>
                <w:color w:val="000000"/>
                <w:kern w:val="0"/>
                <w:sz w:val="22"/>
              </w:rPr>
            </w:pP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一级事项</w:t>
            </w:r>
          </w:p>
        </w:tc>
        <w:tc>
          <w:tcPr>
            <w:tcW w:w="144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二级事项</w:t>
            </w:r>
          </w:p>
        </w:tc>
        <w:tc>
          <w:tcPr>
            <w:tcW w:w="2880" w:type="dxa"/>
            <w:vMerge w:val="continue"/>
            <w:vAlign w:val="center"/>
          </w:tcPr>
          <w:p>
            <w:pPr>
              <w:widowControl/>
              <w:jc w:val="left"/>
              <w:rPr>
                <w:rFonts w:hint="eastAsia" w:ascii="黑体" w:hAnsi="黑体" w:eastAsia="黑体" w:cs="黑体"/>
                <w:color w:val="000000"/>
                <w:kern w:val="0"/>
                <w:sz w:val="22"/>
              </w:rPr>
            </w:pPr>
          </w:p>
        </w:tc>
        <w:tc>
          <w:tcPr>
            <w:tcW w:w="1980" w:type="dxa"/>
            <w:vMerge w:val="continue"/>
            <w:vAlign w:val="center"/>
          </w:tcPr>
          <w:p>
            <w:pPr>
              <w:widowControl/>
              <w:jc w:val="left"/>
              <w:rPr>
                <w:rFonts w:hint="eastAsia" w:ascii="黑体" w:hAnsi="黑体" w:eastAsia="黑体" w:cs="黑体"/>
                <w:color w:val="000000"/>
                <w:kern w:val="0"/>
                <w:sz w:val="22"/>
              </w:rPr>
            </w:pPr>
          </w:p>
        </w:tc>
        <w:tc>
          <w:tcPr>
            <w:tcW w:w="1260" w:type="dxa"/>
            <w:vMerge w:val="continue"/>
            <w:vAlign w:val="center"/>
          </w:tcPr>
          <w:p>
            <w:pPr>
              <w:widowControl/>
              <w:jc w:val="left"/>
              <w:rPr>
                <w:rFonts w:hint="eastAsia" w:ascii="黑体" w:hAnsi="黑体" w:eastAsia="黑体" w:cs="黑体"/>
                <w:color w:val="000000"/>
                <w:kern w:val="0"/>
                <w:sz w:val="22"/>
              </w:rPr>
            </w:pPr>
          </w:p>
        </w:tc>
        <w:tc>
          <w:tcPr>
            <w:tcW w:w="1080" w:type="dxa"/>
            <w:vMerge w:val="continue"/>
            <w:vAlign w:val="center"/>
          </w:tcPr>
          <w:p>
            <w:pPr>
              <w:widowControl/>
              <w:jc w:val="left"/>
              <w:rPr>
                <w:rFonts w:hint="eastAsia" w:ascii="黑体" w:hAnsi="黑体" w:eastAsia="黑体" w:cs="黑体"/>
                <w:color w:val="000000"/>
                <w:kern w:val="0"/>
                <w:sz w:val="22"/>
              </w:rPr>
            </w:pPr>
          </w:p>
        </w:tc>
        <w:tc>
          <w:tcPr>
            <w:tcW w:w="1620" w:type="dxa"/>
            <w:vMerge w:val="continue"/>
            <w:vAlign w:val="center"/>
          </w:tcPr>
          <w:p>
            <w:pPr>
              <w:widowControl/>
              <w:jc w:val="left"/>
              <w:rPr>
                <w:rFonts w:hint="eastAsia" w:ascii="黑体" w:hAnsi="黑体" w:eastAsia="黑体" w:cs="黑体"/>
                <w:kern w:val="0"/>
                <w:sz w:val="22"/>
              </w:rPr>
            </w:pPr>
          </w:p>
        </w:tc>
        <w:tc>
          <w:tcPr>
            <w:tcW w:w="54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养老服务业务办理</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老年人补贴</w:t>
            </w:r>
          </w:p>
        </w:tc>
        <w:tc>
          <w:tcPr>
            <w:tcW w:w="2880" w:type="dxa"/>
            <w:vAlign w:val="center"/>
          </w:tcPr>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老年人补贴名称（高龄津贴、养老服务补贴、护理补贴等）、各项老年人补贴依据、各项老年人补贴对象、各项老年人补贴内容和标准、各项老年人补贴方式、补贴申请材料清单及样式，办理流程、办理部门、办理时限、办理时间、地点、咨询电话</w:t>
            </w:r>
          </w:p>
        </w:tc>
        <w:tc>
          <w:tcPr>
            <w:tcW w:w="198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信息公开规定</w:t>
            </w:r>
          </w:p>
        </w:tc>
        <w:tc>
          <w:tcPr>
            <w:tcW w:w="126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制定或获取补贴政策之日起10个工作日内</w:t>
            </w:r>
          </w:p>
        </w:tc>
        <w:tc>
          <w:tcPr>
            <w:tcW w:w="108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新华街道办事处</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■广州老龄公众号</w:t>
            </w:r>
          </w:p>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■社区/企事业单位/村公示栏（电子屏）   </w:t>
            </w:r>
          </w:p>
        </w:tc>
        <w:tc>
          <w:tcPr>
            <w:tcW w:w="5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540" w:type="dxa"/>
            <w:vAlign w:val="center"/>
          </w:tcPr>
          <w:p>
            <w:pPr>
              <w:jc w:val="cente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2</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养老服务行业管理信息</w:t>
            </w:r>
          </w:p>
        </w:tc>
        <w:tc>
          <w:tcPr>
            <w:tcW w:w="144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老年人补贴申领和发放信息</w:t>
            </w:r>
          </w:p>
        </w:tc>
        <w:tc>
          <w:tcPr>
            <w:tcW w:w="28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本行政区域各项老年人补贴申领数量、</w:t>
            </w:r>
          </w:p>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本行政区域各项老年人补贴申领审核通过数量、</w:t>
            </w:r>
          </w:p>
          <w:p>
            <w:pPr>
              <w:rPr>
                <w:rFonts w:ascii="仿宋_GB2312" w:hAnsi="宋体" w:eastAsia="仿宋_GB2312"/>
                <w:color w:val="000000"/>
                <w:sz w:val="20"/>
                <w:szCs w:val="20"/>
              </w:rPr>
            </w:pPr>
            <w:r>
              <w:rPr>
                <w:rFonts w:hint="eastAsia" w:ascii="仿宋_GB2312" w:hAnsi="宋体" w:eastAsia="仿宋_GB2312"/>
                <w:color w:val="000000"/>
                <w:sz w:val="20"/>
                <w:szCs w:val="20"/>
              </w:rPr>
              <w:t>本行政区域各项老年人补贴申领审核通过名单、</w:t>
            </w:r>
          </w:p>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本行政区域各项老年人补贴发放总金额</w:t>
            </w:r>
          </w:p>
        </w:tc>
        <w:tc>
          <w:tcPr>
            <w:tcW w:w="198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《财政部民政部全国老龄办关于建立健全经济困难的高龄失能等老年人补贴制度的通知》（财社〔2014〕113号）、</w:t>
            </w:r>
          </w:p>
          <w:p>
            <w:pPr>
              <w:rPr>
                <w:rFonts w:ascii="仿宋_GB2312" w:hAnsi="宋体" w:eastAsia="仿宋_GB2312"/>
                <w:color w:val="000000"/>
                <w:sz w:val="20"/>
                <w:szCs w:val="20"/>
              </w:rPr>
            </w:pPr>
            <w:r>
              <w:rPr>
                <w:rFonts w:hint="eastAsia" w:ascii="仿宋_GB2312" w:hAnsi="宋体" w:eastAsia="仿宋_GB2312"/>
                <w:color w:val="000000"/>
                <w:sz w:val="20"/>
                <w:szCs w:val="20"/>
              </w:rPr>
              <w:t>《广东省民政厅广东省财政厅广东省老龄工作办公室关于建立经济困难的高龄失能等老年人补贴制度的实施意见》（粤民发〔2016〕57号）、</w:t>
            </w:r>
          </w:p>
          <w:p>
            <w:pPr>
              <w:rPr>
                <w:rFonts w:ascii="仿宋_GB2312" w:hAnsi="宋体" w:eastAsia="仿宋_GB2312"/>
                <w:color w:val="000000"/>
                <w:sz w:val="20"/>
                <w:szCs w:val="20"/>
              </w:rPr>
            </w:pPr>
            <w:r>
              <w:rPr>
                <w:rFonts w:hint="eastAsia" w:ascii="仿宋_GB2312" w:hAnsi="宋体" w:eastAsia="仿宋_GB2312"/>
                <w:color w:val="000000"/>
                <w:sz w:val="20"/>
                <w:szCs w:val="20"/>
              </w:rPr>
              <w:t>各地相关政策法规文件、</w:t>
            </w:r>
          </w:p>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信息公开规定</w:t>
            </w:r>
          </w:p>
        </w:tc>
        <w:tc>
          <w:tcPr>
            <w:tcW w:w="1260" w:type="dxa"/>
            <w:vAlign w:val="center"/>
          </w:tcPr>
          <w:p>
            <w:pP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每20个工作日更新</w:t>
            </w:r>
          </w:p>
        </w:tc>
        <w:tc>
          <w:tcPr>
            <w:tcW w:w="1080" w:type="dxa"/>
            <w:vAlign w:val="center"/>
          </w:tcPr>
          <w:p>
            <w:pPr>
              <w:jc w:val="center"/>
              <w:rPr>
                <w:rFonts w:ascii="仿宋_GB2312" w:hAnsi="宋体" w:eastAsia="仿宋_GB2312"/>
                <w:color w:val="000000"/>
                <w:sz w:val="20"/>
                <w:szCs w:val="20"/>
                <w:highlight w:val="yellow"/>
              </w:rPr>
            </w:pPr>
            <w:r>
              <w:rPr>
                <w:rFonts w:hint="eastAsia" w:ascii="仿宋_GB2312" w:hAnsi="宋体" w:eastAsia="仿宋_GB2312"/>
                <w:color w:val="000000"/>
                <w:sz w:val="20"/>
                <w:szCs w:val="20"/>
              </w:rPr>
              <w:t>新华街道办事处</w:t>
            </w:r>
          </w:p>
        </w:tc>
        <w:tc>
          <w:tcPr>
            <w:tcW w:w="1620" w:type="dxa"/>
            <w:vAlign w:val="center"/>
          </w:tcPr>
          <w:p>
            <w:pPr>
              <w:rPr>
                <w:rFonts w:ascii="仿宋_GB2312" w:hAnsi="宋体" w:eastAsia="仿宋_GB2312"/>
                <w:color w:val="000000"/>
                <w:sz w:val="20"/>
                <w:szCs w:val="20"/>
              </w:rPr>
            </w:pPr>
            <w:r>
              <w:rPr>
                <w:rFonts w:hint="eastAsia" w:ascii="仿宋_GB2312" w:hAnsi="宋体" w:eastAsia="仿宋_GB2312"/>
                <w:color w:val="000000"/>
                <w:sz w:val="20"/>
                <w:szCs w:val="20"/>
              </w:rPr>
              <w:t xml:space="preserve">                                                                                                                                                                                                                  </w:t>
            </w:r>
          </w:p>
          <w:p>
            <w:pPr>
              <w:rPr>
                <w:rFonts w:ascii="仿宋_GB2312" w:hAnsi="宋体" w:eastAsia="仿宋_GB2312"/>
                <w:color w:val="000000"/>
                <w:sz w:val="20"/>
                <w:szCs w:val="20"/>
              </w:rPr>
            </w:pPr>
            <w:r>
              <w:rPr>
                <w:rFonts w:hint="eastAsia" w:ascii="仿宋_GB2312" w:hAnsi="宋体" w:eastAsia="仿宋_GB2312"/>
                <w:color w:val="000000"/>
                <w:sz w:val="20"/>
                <w:szCs w:val="20"/>
              </w:rPr>
              <w:t>■广州老龄公众号</w:t>
            </w:r>
          </w:p>
        </w:tc>
        <w:tc>
          <w:tcPr>
            <w:tcW w:w="54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09"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551"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w:t>
            </w:r>
          </w:p>
        </w:tc>
        <w:tc>
          <w:tcPr>
            <w:tcW w:w="720" w:type="dxa"/>
            <w:vAlign w:val="center"/>
          </w:tcPr>
          <w:p>
            <w:pPr>
              <w:jc w:val="center"/>
              <w:rPr>
                <w:rFonts w:ascii="仿宋_GB2312" w:hAnsi="宋体" w:eastAsia="仿宋_GB2312"/>
                <w:color w:val="000000"/>
                <w:sz w:val="20"/>
                <w:szCs w:val="20"/>
              </w:rPr>
            </w:pPr>
            <w:r>
              <w:rPr>
                <w:rFonts w:hint="eastAsia" w:ascii="仿宋_GB2312" w:hAnsi="宋体" w:eastAsia="仿宋_GB2312"/>
                <w:color w:val="000000"/>
                <w:sz w:val="20"/>
                <w:szCs w:val="20"/>
              </w:rPr>
              <w:t>　</w:t>
            </w:r>
          </w:p>
        </w:tc>
      </w:tr>
    </w:tbl>
    <w:p>
      <w:pPr>
        <w:pStyle w:val="2"/>
        <w:rPr>
          <w:rFonts w:ascii="仿宋" w:hAnsi="仿宋" w:eastAsia="仿宋" w:cs="仿宋"/>
          <w:sz w:val="32"/>
          <w:szCs w:val="32"/>
        </w:rPr>
      </w:pPr>
    </w:p>
    <w:p>
      <w:pPr>
        <w:pStyle w:val="2"/>
        <w:jc w:val="center"/>
        <w:rPr>
          <w:rFonts w:ascii="仿宋" w:hAnsi="仿宋" w:eastAsia="仿宋" w:cs="仿宋"/>
          <w:sz w:val="32"/>
          <w:szCs w:val="32"/>
        </w:rPr>
      </w:pPr>
    </w:p>
    <w:p/>
    <w:bookmarkEnd w:id="1"/>
    <w:p/>
    <w:p/>
    <w:p/>
    <w:p>
      <w:pPr>
        <w:pStyle w:val="2"/>
        <w:jc w:val="center"/>
        <w:rPr>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）就业领域基层政务公开标准目录</w:t>
      </w:r>
    </w:p>
    <w:tbl>
      <w:tblPr>
        <w:tblStyle w:val="6"/>
        <w:tblpPr w:leftFromText="180" w:rightFromText="180" w:vertAnchor="text" w:horzAnchor="page" w:tblpX="906" w:tblpY="1103"/>
        <w:tblOverlap w:val="never"/>
        <w:tblW w:w="15639" w:type="dxa"/>
        <w:tblInd w:w="0" w:type="dxa"/>
        <w:tblLayout w:type="fixed"/>
        <w:tblCellMar>
          <w:top w:w="0" w:type="dxa"/>
          <w:left w:w="108" w:type="dxa"/>
          <w:bottom w:w="0" w:type="dxa"/>
          <w:right w:w="108" w:type="dxa"/>
        </w:tblCellMar>
      </w:tblPr>
      <w:tblGrid>
        <w:gridCol w:w="613"/>
        <w:gridCol w:w="709"/>
        <w:gridCol w:w="850"/>
        <w:gridCol w:w="2044"/>
        <w:gridCol w:w="2067"/>
        <w:gridCol w:w="1559"/>
        <w:gridCol w:w="993"/>
        <w:gridCol w:w="1275"/>
        <w:gridCol w:w="993"/>
        <w:gridCol w:w="992"/>
        <w:gridCol w:w="992"/>
        <w:gridCol w:w="851"/>
        <w:gridCol w:w="850"/>
        <w:gridCol w:w="851"/>
      </w:tblGrid>
      <w:tr>
        <w:tblPrEx>
          <w:tblCellMar>
            <w:top w:w="0" w:type="dxa"/>
            <w:left w:w="108" w:type="dxa"/>
            <w:bottom w:w="0" w:type="dxa"/>
            <w:right w:w="108" w:type="dxa"/>
          </w:tblCellMar>
        </w:tblPrEx>
        <w:trPr>
          <w:trHeight w:val="288" w:hRule="atLeast"/>
        </w:trPr>
        <w:tc>
          <w:tcPr>
            <w:tcW w:w="6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kern w:val="0"/>
                <w:sz w:val="22"/>
              </w:rPr>
            </w:pPr>
            <w:bookmarkStart w:id="2" w:name="_Toc24724713"/>
            <w:r>
              <w:rPr>
                <w:rFonts w:hint="eastAsia" w:ascii="黑体" w:hAnsi="黑体" w:eastAsia="黑体"/>
                <w:kern w:val="0"/>
                <w:sz w:val="22"/>
              </w:rPr>
              <w:t>序号</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公开事项</w:t>
            </w:r>
          </w:p>
        </w:tc>
        <w:tc>
          <w:tcPr>
            <w:tcW w:w="2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公开内容（要素）</w:t>
            </w:r>
          </w:p>
        </w:tc>
        <w:tc>
          <w:tcPr>
            <w:tcW w:w="20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公开依据</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公开时限</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公开主体</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公开渠道和载体</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公开对象</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公开方式</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公开层级</w:t>
            </w:r>
          </w:p>
        </w:tc>
      </w:tr>
      <w:tr>
        <w:tblPrEx>
          <w:tblCellMar>
            <w:top w:w="0" w:type="dxa"/>
            <w:left w:w="108" w:type="dxa"/>
            <w:bottom w:w="0" w:type="dxa"/>
            <w:right w:w="108" w:type="dxa"/>
          </w:tblCellMar>
        </w:tblPrEx>
        <w:trPr>
          <w:trHeight w:val="576" w:hRule="atLeast"/>
        </w:trPr>
        <w:tc>
          <w:tcPr>
            <w:tcW w:w="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一级事项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二级事项</w:t>
            </w: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20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全社会</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特定群众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主动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依申请公开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县级</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乡、村级</w:t>
            </w:r>
          </w:p>
        </w:tc>
      </w:tr>
      <w:tr>
        <w:tblPrEx>
          <w:tblCellMar>
            <w:top w:w="0" w:type="dxa"/>
            <w:left w:w="108" w:type="dxa"/>
            <w:bottom w:w="0" w:type="dxa"/>
            <w:right w:w="108" w:type="dxa"/>
          </w:tblCellMar>
        </w:tblPrEx>
        <w:trPr>
          <w:trHeight w:val="1188"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就业信息服务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就业政策法规咨询</w:t>
            </w:r>
          </w:p>
        </w:tc>
        <w:tc>
          <w:tcPr>
            <w:tcW w:w="204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就业创业政策项目、对象范围、政策申请条件、政策申请材料、办理流程、办理地点（方式）、咨询电话</w:t>
            </w:r>
          </w:p>
        </w:tc>
        <w:tc>
          <w:tcPr>
            <w:tcW w:w="2067" w:type="dxa"/>
            <w:tcBorders>
              <w:top w:val="nil"/>
              <w:left w:val="nil"/>
              <w:bottom w:val="nil"/>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新华街道办事处</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■基层公共服务平台—新华街综治信访维稳中心</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852"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709" w:type="dxa"/>
            <w:tcBorders>
              <w:top w:val="single" w:color="auto" w:sz="4" w:space="0"/>
              <w:left w:val="nil"/>
              <w:bottom w:val="nil"/>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公共就业服务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公共就业服务专项活动</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活动通知、活动时间、参与方式、相关材料、活动地址、咨询电话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新华街道办事处</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■基层公共服务平台—新华街综治信访维稳中心</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140"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就业失业登记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失业登记</w:t>
            </w:r>
          </w:p>
        </w:tc>
        <w:tc>
          <w:tcPr>
            <w:tcW w:w="204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新华街道办事处</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■广东省政务服务网-广州市花都区</w:t>
            </w:r>
          </w:p>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■基层公共服务平台—微信公众号“广州人社”</w:t>
            </w:r>
          </w:p>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■基层公共服务平台—网站：广州市人力资源和社会保障局网上办事系统</w:t>
            </w:r>
          </w:p>
          <w:p>
            <w:pPr>
              <w:widowControl/>
              <w:jc w:val="left"/>
              <w:rPr>
                <w:rFonts w:hint="eastAsia" w:ascii="仿宋_GB2312" w:hAnsi="仿宋_GB2312" w:eastAsia="仿宋_GB2312" w:cs="仿宋_GB2312"/>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16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2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116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就业登记</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新华街道办事处</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788"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对就业困难人员（含建档立卡贫困劳动力）实施就业援助</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灵活就业社会保险补贴</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《政府信息公开条例》、《就业促进法》、《人力资源市场暂行条例》《广州市人力资源和社会保障局广州市财政局关于印发〈广州市就业补助资金使用管理办法〉的通知》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新华街道办事处</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■广东省政务服务网-广州市花都区</w:t>
            </w:r>
          </w:p>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■基层公共服务平台—微信公众号“广州人社”■基层公共服务平台—网站：广州市人力资源和社会保障局网上办事系统</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2831"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就业困难人员认定</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《政府信息公开条例》、《就业促进法》、《人力资源市场暂行条例》《广州市人力资源和社会保障局广州市财政局关于印发〈广州市就业补助资金使用管理办法〉的通知》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新华街道办事处</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■基层公共服务平台--网站：广州市人力资源和社会保障局网上办事系统</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pStyle w:val="2"/>
        <w:jc w:val="center"/>
        <w:rPr>
          <w:rFonts w:ascii="仿宋" w:hAnsi="仿宋" w:eastAsia="仿宋" w:cs="仿宋"/>
          <w:bCs w:val="0"/>
          <w:sz w:val="32"/>
          <w:szCs w:val="32"/>
        </w:rPr>
      </w:pPr>
      <w:r>
        <w:rPr>
          <w:rFonts w:hint="eastAsia" w:ascii="仿宋" w:hAnsi="仿宋" w:eastAsia="仿宋" w:cs="仿宋"/>
          <w:bCs w:val="0"/>
          <w:sz w:val="32"/>
          <w:szCs w:val="32"/>
        </w:rPr>
        <w:t>（</w:t>
      </w:r>
      <w:r>
        <w:rPr>
          <w:rFonts w:hint="eastAsia" w:ascii="仿宋" w:hAnsi="仿宋" w:eastAsia="仿宋" w:cs="仿宋"/>
          <w:bCs w:val="0"/>
          <w:sz w:val="32"/>
          <w:szCs w:val="32"/>
          <w:lang w:eastAsia="zh-CN"/>
        </w:rPr>
        <w:t>五</w:t>
      </w:r>
      <w:r>
        <w:rPr>
          <w:rFonts w:hint="eastAsia" w:ascii="仿宋" w:hAnsi="仿宋" w:eastAsia="仿宋" w:cs="仿宋"/>
          <w:bCs w:val="0"/>
          <w:sz w:val="32"/>
          <w:szCs w:val="32"/>
        </w:rPr>
        <w:t>）社会保险领域基层政务公开标准目录</w:t>
      </w:r>
      <w:bookmarkEnd w:id="2"/>
    </w:p>
    <w:tbl>
      <w:tblPr>
        <w:tblStyle w:val="6"/>
        <w:tblW w:w="15210"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5"/>
        <w:gridCol w:w="1140"/>
        <w:gridCol w:w="2775"/>
        <w:gridCol w:w="1725"/>
        <w:gridCol w:w="1530"/>
        <w:gridCol w:w="720"/>
        <w:gridCol w:w="1905"/>
        <w:gridCol w:w="600"/>
        <w:gridCol w:w="705"/>
        <w:gridCol w:w="540"/>
        <w:gridCol w:w="735"/>
        <w:gridCol w:w="6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vAlign w:val="center"/>
          </w:tcPr>
          <w:p>
            <w:pPr>
              <w:widowControl/>
              <w:jc w:val="center"/>
              <w:rPr>
                <w:rFonts w:ascii="黑体" w:hAnsi="Times New Roman" w:eastAsia="黑体"/>
                <w:kern w:val="0"/>
                <w:sz w:val="22"/>
              </w:rPr>
            </w:pPr>
            <w:bookmarkStart w:id="3" w:name="_Toc24724715"/>
            <w:r>
              <w:rPr>
                <w:rFonts w:hint="eastAsia" w:ascii="黑体" w:hAnsi="宋体" w:eastAsia="黑体"/>
                <w:kern w:val="0"/>
                <w:sz w:val="22"/>
              </w:rPr>
              <w:t>序号</w:t>
            </w:r>
          </w:p>
        </w:tc>
        <w:tc>
          <w:tcPr>
            <w:tcW w:w="199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公开事项</w:t>
            </w:r>
          </w:p>
        </w:tc>
        <w:tc>
          <w:tcPr>
            <w:tcW w:w="277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公开内容（要素）</w:t>
            </w:r>
          </w:p>
        </w:tc>
        <w:tc>
          <w:tcPr>
            <w:tcW w:w="172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公开依据</w:t>
            </w:r>
          </w:p>
        </w:tc>
        <w:tc>
          <w:tcPr>
            <w:tcW w:w="153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公开时限</w:t>
            </w:r>
          </w:p>
        </w:tc>
        <w:tc>
          <w:tcPr>
            <w:tcW w:w="72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公开主体</w:t>
            </w:r>
          </w:p>
        </w:tc>
        <w:tc>
          <w:tcPr>
            <w:tcW w:w="190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30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公开对象</w:t>
            </w:r>
          </w:p>
        </w:tc>
        <w:tc>
          <w:tcPr>
            <w:tcW w:w="127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公开方式</w:t>
            </w:r>
          </w:p>
        </w:tc>
        <w:tc>
          <w:tcPr>
            <w:tcW w:w="145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widowControl/>
              <w:jc w:val="left"/>
              <w:rPr>
                <w:rFonts w:ascii="Times New Roman" w:hAnsi="Times New Roman"/>
                <w:kern w:val="0"/>
                <w:sz w:val="15"/>
                <w:szCs w:val="15"/>
              </w:rPr>
            </w:pPr>
          </w:p>
        </w:tc>
        <w:tc>
          <w:tcPr>
            <w:tcW w:w="855" w:type="dxa"/>
            <w:vAlign w:val="center"/>
          </w:tcPr>
          <w:p>
            <w:pPr>
              <w:widowControl/>
              <w:jc w:val="center"/>
              <w:rPr>
                <w:rFonts w:ascii="黑体" w:hAnsi="宋体" w:eastAsia="黑体"/>
                <w:kern w:val="0"/>
                <w:sz w:val="22"/>
              </w:rPr>
            </w:pPr>
            <w:r>
              <w:rPr>
                <w:rFonts w:hint="eastAsia" w:ascii="黑体" w:hAnsi="宋体" w:eastAsia="黑体"/>
                <w:kern w:val="0"/>
                <w:sz w:val="22"/>
              </w:rPr>
              <w:t>一级事项</w:t>
            </w:r>
          </w:p>
        </w:tc>
        <w:tc>
          <w:tcPr>
            <w:tcW w:w="1140" w:type="dxa"/>
            <w:vAlign w:val="center"/>
          </w:tcPr>
          <w:p>
            <w:pPr>
              <w:widowControl/>
              <w:jc w:val="center"/>
              <w:rPr>
                <w:rFonts w:ascii="黑体" w:hAnsi="宋体" w:eastAsia="黑体"/>
                <w:kern w:val="0"/>
                <w:sz w:val="22"/>
              </w:rPr>
            </w:pPr>
            <w:r>
              <w:rPr>
                <w:rFonts w:hint="eastAsia" w:ascii="黑体" w:hAnsi="宋体" w:eastAsia="黑体"/>
                <w:kern w:val="0"/>
                <w:sz w:val="22"/>
              </w:rPr>
              <w:t>二级事项</w:t>
            </w:r>
          </w:p>
        </w:tc>
        <w:tc>
          <w:tcPr>
            <w:tcW w:w="2775" w:type="dxa"/>
            <w:vMerge w:val="continue"/>
            <w:vAlign w:val="center"/>
          </w:tcPr>
          <w:p>
            <w:pPr>
              <w:widowControl/>
              <w:rPr>
                <w:rFonts w:ascii="黑体" w:hAnsi="宋体" w:eastAsia="黑体"/>
                <w:kern w:val="0"/>
                <w:sz w:val="22"/>
              </w:rPr>
            </w:pPr>
          </w:p>
        </w:tc>
        <w:tc>
          <w:tcPr>
            <w:tcW w:w="1725" w:type="dxa"/>
            <w:vMerge w:val="continue"/>
            <w:vAlign w:val="center"/>
          </w:tcPr>
          <w:p>
            <w:pPr>
              <w:widowControl/>
              <w:jc w:val="left"/>
              <w:rPr>
                <w:rFonts w:ascii="黑体" w:hAnsi="宋体" w:eastAsia="黑体"/>
                <w:kern w:val="0"/>
                <w:sz w:val="22"/>
              </w:rPr>
            </w:pPr>
          </w:p>
        </w:tc>
        <w:tc>
          <w:tcPr>
            <w:tcW w:w="1530" w:type="dxa"/>
            <w:vMerge w:val="continue"/>
            <w:vAlign w:val="center"/>
          </w:tcPr>
          <w:p>
            <w:pPr>
              <w:widowControl/>
              <w:jc w:val="left"/>
              <w:rPr>
                <w:rFonts w:ascii="黑体" w:hAnsi="宋体" w:eastAsia="黑体"/>
                <w:kern w:val="0"/>
                <w:sz w:val="22"/>
              </w:rPr>
            </w:pPr>
          </w:p>
        </w:tc>
        <w:tc>
          <w:tcPr>
            <w:tcW w:w="720" w:type="dxa"/>
            <w:vMerge w:val="continue"/>
            <w:vAlign w:val="center"/>
          </w:tcPr>
          <w:p>
            <w:pPr>
              <w:widowControl/>
              <w:jc w:val="left"/>
              <w:rPr>
                <w:rFonts w:ascii="黑体" w:hAnsi="宋体" w:eastAsia="黑体"/>
                <w:kern w:val="0"/>
                <w:sz w:val="22"/>
              </w:rPr>
            </w:pPr>
          </w:p>
        </w:tc>
        <w:tc>
          <w:tcPr>
            <w:tcW w:w="1905" w:type="dxa"/>
            <w:vMerge w:val="continue"/>
            <w:vAlign w:val="center"/>
          </w:tcPr>
          <w:p>
            <w:pPr>
              <w:widowControl/>
              <w:jc w:val="left"/>
              <w:rPr>
                <w:rFonts w:ascii="黑体" w:hAnsi="宋体" w:eastAsia="黑体"/>
                <w:kern w:val="0"/>
                <w:sz w:val="22"/>
              </w:rPr>
            </w:pPr>
          </w:p>
        </w:tc>
        <w:tc>
          <w:tcPr>
            <w:tcW w:w="600" w:type="dxa"/>
            <w:vAlign w:val="center"/>
          </w:tcPr>
          <w:p>
            <w:pPr>
              <w:widowControl/>
              <w:jc w:val="center"/>
              <w:rPr>
                <w:rFonts w:ascii="黑体" w:hAnsi="宋体" w:eastAsia="黑体"/>
                <w:kern w:val="0"/>
                <w:sz w:val="22"/>
              </w:rPr>
            </w:pPr>
            <w:r>
              <w:rPr>
                <w:rFonts w:hint="eastAsia" w:ascii="黑体" w:hAnsi="宋体" w:eastAsia="黑体"/>
                <w:kern w:val="0"/>
                <w:sz w:val="22"/>
              </w:rPr>
              <w:t>全社会</w:t>
            </w:r>
          </w:p>
        </w:tc>
        <w:tc>
          <w:tcPr>
            <w:tcW w:w="705" w:type="dxa"/>
            <w:vAlign w:val="center"/>
          </w:tcPr>
          <w:p>
            <w:pPr>
              <w:widowControl/>
              <w:jc w:val="center"/>
              <w:rPr>
                <w:rFonts w:ascii="黑体" w:hAnsi="宋体" w:eastAsia="黑体"/>
                <w:kern w:val="0"/>
                <w:sz w:val="22"/>
              </w:rPr>
            </w:pPr>
            <w:r>
              <w:rPr>
                <w:rFonts w:hint="eastAsia" w:ascii="黑体" w:hAnsi="宋体" w:eastAsia="黑体"/>
                <w:kern w:val="0"/>
                <w:sz w:val="22"/>
              </w:rPr>
              <w:t>特定群众</w:t>
            </w:r>
          </w:p>
        </w:tc>
        <w:tc>
          <w:tcPr>
            <w:tcW w:w="540" w:type="dxa"/>
            <w:vAlign w:val="center"/>
          </w:tcPr>
          <w:p>
            <w:pPr>
              <w:widowControl/>
              <w:jc w:val="center"/>
              <w:rPr>
                <w:rFonts w:ascii="黑体" w:hAnsi="宋体" w:eastAsia="黑体"/>
                <w:kern w:val="0"/>
                <w:sz w:val="22"/>
              </w:rPr>
            </w:pPr>
            <w:r>
              <w:rPr>
                <w:rFonts w:hint="eastAsia" w:ascii="黑体" w:hAnsi="宋体" w:eastAsia="黑体"/>
                <w:kern w:val="0"/>
                <w:sz w:val="22"/>
              </w:rPr>
              <w:t>主动</w:t>
            </w:r>
          </w:p>
        </w:tc>
        <w:tc>
          <w:tcPr>
            <w:tcW w:w="735" w:type="dxa"/>
            <w:vAlign w:val="center"/>
          </w:tcPr>
          <w:p>
            <w:pPr>
              <w:widowControl/>
              <w:jc w:val="center"/>
              <w:rPr>
                <w:rFonts w:ascii="黑体" w:hAnsi="宋体" w:eastAsia="黑体"/>
                <w:kern w:val="0"/>
                <w:sz w:val="22"/>
              </w:rPr>
            </w:pPr>
            <w:r>
              <w:rPr>
                <w:rFonts w:hint="eastAsia" w:ascii="黑体" w:hAnsi="宋体" w:eastAsia="黑体"/>
                <w:kern w:val="0"/>
                <w:sz w:val="22"/>
              </w:rPr>
              <w:t>依申请公开</w:t>
            </w:r>
          </w:p>
        </w:tc>
        <w:tc>
          <w:tcPr>
            <w:tcW w:w="690" w:type="dxa"/>
            <w:vAlign w:val="center"/>
          </w:tcPr>
          <w:p>
            <w:pPr>
              <w:widowControl/>
              <w:jc w:val="center"/>
              <w:rPr>
                <w:rFonts w:ascii="黑体" w:hAnsi="宋体" w:eastAsia="黑体"/>
                <w:kern w:val="0"/>
                <w:sz w:val="22"/>
              </w:rPr>
            </w:pPr>
            <w:r>
              <w:rPr>
                <w:rFonts w:hint="eastAsia" w:ascii="黑体" w:hAnsi="宋体" w:eastAsia="黑体"/>
                <w:kern w:val="0"/>
                <w:sz w:val="22"/>
              </w:rPr>
              <w:t>县级</w:t>
            </w:r>
          </w:p>
        </w:tc>
        <w:tc>
          <w:tcPr>
            <w:tcW w:w="765" w:type="dxa"/>
            <w:vAlign w:val="center"/>
          </w:tcPr>
          <w:p>
            <w:pPr>
              <w:widowControl/>
              <w:jc w:val="center"/>
              <w:rPr>
                <w:rFonts w:ascii="黑体" w:hAnsi="宋体" w:eastAsia="黑体"/>
                <w:kern w:val="0"/>
                <w:sz w:val="22"/>
              </w:rPr>
            </w:pPr>
            <w:r>
              <w:rPr>
                <w:rFonts w:hint="eastAsia" w:ascii="黑体" w:hAnsi="宋体" w:eastAsia="黑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w:t>
            </w:r>
          </w:p>
        </w:tc>
        <w:tc>
          <w:tcPr>
            <w:tcW w:w="855" w:type="dxa"/>
            <w:shd w:val="clear" w:color="auto" w:fill="auto"/>
            <w:vAlign w:val="center"/>
          </w:tcPr>
          <w:p>
            <w:pPr>
              <w:widowControl/>
              <w:jc w:val="center"/>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社会保险登记</w:t>
            </w:r>
          </w:p>
        </w:tc>
        <w:tc>
          <w:tcPr>
            <w:tcW w:w="1140" w:type="dxa"/>
            <w:shd w:val="clear" w:color="auto" w:fill="auto"/>
            <w:vAlign w:val="center"/>
          </w:tcPr>
          <w:p>
            <w:pPr>
              <w:widowControl/>
              <w:jc w:val="center"/>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城乡居民养老保险参保登记</w:t>
            </w:r>
          </w:p>
        </w:tc>
        <w:tc>
          <w:tcPr>
            <w:tcW w:w="2775"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企业参保单位社会保险信息变更</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3</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城乡居民养老保险个人信息变更</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4</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5</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6</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7</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城乡居民养老保险费断缴补缴申报</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8</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社会保险参保缴费记录查询</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单位参保证明查询打印</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9</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个人权益记录（参保证明）查询打印</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10</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企业职工领取养老待遇资格认证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11</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城乡居民领取养老保险待遇资格认证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12</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城乡居民养老保险待遇申领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13</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养老保险参保缴费凭证申请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14</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暂停城乡居民养老保险待遇申请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15</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工伤职工和供养亲属领取工伤保险长期待遇资格认证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《政府信息公开条例》、《社会保险法》、《工伤保险条例》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16</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17</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失业补助金申领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18</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领取失业保险金资格认证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19</w:t>
            </w:r>
          </w:p>
        </w:tc>
        <w:tc>
          <w:tcPr>
            <w:tcW w:w="85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非本省户籍人员一次性失业保险金申领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20</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核定失业人员停领失业保险待遇</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21</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丧葬补助金和抚恤金申领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22</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农民合同制工人一次性生活补助申领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23</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代缴基本医疗保险费</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新华街道办事处</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■基层公共服务平台--新华街综治信访维稳中心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bl>
    <w:p>
      <w:pPr>
        <w:pStyle w:val="2"/>
        <w:rPr>
          <w:rFonts w:ascii="仿宋" w:hAnsi="仿宋" w:eastAsia="仿宋" w:cs="仿宋"/>
          <w:sz w:val="32"/>
          <w:szCs w:val="32"/>
        </w:rPr>
      </w:pPr>
    </w:p>
    <w:p>
      <w:pPr>
        <w:rPr>
          <w:rFonts w:ascii="仿宋" w:hAnsi="仿宋" w:eastAsia="仿宋" w:cs="仿宋"/>
          <w:b/>
          <w:bCs/>
          <w:sz w:val="32"/>
          <w:szCs w:val="32"/>
        </w:rPr>
      </w:pPr>
    </w:p>
    <w:p>
      <w:pPr>
        <w:rPr>
          <w:rFonts w:ascii="仿宋" w:hAnsi="仿宋" w:eastAsia="仿宋" w:cs="仿宋"/>
          <w:b/>
          <w:bCs/>
          <w:sz w:val="32"/>
          <w:szCs w:val="32"/>
        </w:rPr>
      </w:pPr>
    </w:p>
    <w:p>
      <w:pPr>
        <w:pStyle w:val="2"/>
        <w:jc w:val="center"/>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）农村集体土地征收基层政务公开标准目录</w:t>
      </w:r>
      <w:bookmarkEnd w:id="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bookmarkStart w:id="4" w:name="_Toc24724717"/>
            <w:r>
              <w:rPr>
                <w:rFonts w:ascii="黑体" w:hAnsi="宋体" w:eastAsia="黑体"/>
                <w:color w:val="000000"/>
                <w:kern w:val="0"/>
                <w:sz w:val="22"/>
              </w:rPr>
              <w:t>序号</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公开事项</w:t>
            </w:r>
          </w:p>
        </w:tc>
        <w:tc>
          <w:tcPr>
            <w:tcW w:w="2714"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公开内容（要素）</w:t>
            </w:r>
          </w:p>
        </w:tc>
        <w:tc>
          <w:tcPr>
            <w:tcW w:w="126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公开依据</w:t>
            </w:r>
          </w:p>
        </w:tc>
        <w:tc>
          <w:tcPr>
            <w:tcW w:w="198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公开时限</w:t>
            </w:r>
          </w:p>
        </w:tc>
        <w:tc>
          <w:tcPr>
            <w:tcW w:w="1620" w:type="dxa"/>
            <w:vMerge w:val="restart"/>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公开主体</w:t>
            </w:r>
          </w:p>
        </w:tc>
        <w:tc>
          <w:tcPr>
            <w:tcW w:w="1786"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429"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公开对象</w:t>
            </w:r>
          </w:p>
        </w:tc>
        <w:tc>
          <w:tcPr>
            <w:tcW w:w="1271"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公开方式</w:t>
            </w:r>
          </w:p>
        </w:tc>
        <w:tc>
          <w:tcPr>
            <w:tcW w:w="1440" w:type="dxa"/>
            <w:gridSpan w:val="2"/>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一级事项</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二级事项</w:t>
            </w:r>
          </w:p>
        </w:tc>
        <w:tc>
          <w:tcPr>
            <w:tcW w:w="2714" w:type="dxa"/>
            <w:vMerge w:val="continue"/>
            <w:vAlign w:val="center"/>
          </w:tcPr>
          <w:p>
            <w:pPr>
              <w:widowControl/>
              <w:jc w:val="left"/>
              <w:rPr>
                <w:rFonts w:ascii="黑体" w:hAnsi="宋体" w:eastAsia="黑体"/>
                <w:color w:val="000000"/>
                <w:kern w:val="0"/>
                <w:sz w:val="22"/>
              </w:rPr>
            </w:pPr>
          </w:p>
        </w:tc>
        <w:tc>
          <w:tcPr>
            <w:tcW w:w="1260" w:type="dxa"/>
            <w:vMerge w:val="continue"/>
            <w:vAlign w:val="center"/>
          </w:tcPr>
          <w:p>
            <w:pPr>
              <w:widowControl/>
              <w:jc w:val="left"/>
              <w:rPr>
                <w:rFonts w:ascii="黑体" w:hAnsi="宋体" w:eastAsia="黑体"/>
                <w:color w:val="000000"/>
                <w:kern w:val="0"/>
                <w:sz w:val="22"/>
              </w:rPr>
            </w:pPr>
          </w:p>
        </w:tc>
        <w:tc>
          <w:tcPr>
            <w:tcW w:w="1980" w:type="dxa"/>
            <w:vMerge w:val="continue"/>
            <w:vAlign w:val="center"/>
          </w:tcPr>
          <w:p>
            <w:pPr>
              <w:widowControl/>
              <w:jc w:val="left"/>
              <w:rPr>
                <w:rFonts w:ascii="黑体" w:hAnsi="宋体" w:eastAsia="黑体"/>
                <w:color w:val="000000"/>
                <w:kern w:val="0"/>
                <w:sz w:val="22"/>
              </w:rPr>
            </w:pPr>
          </w:p>
        </w:tc>
        <w:tc>
          <w:tcPr>
            <w:tcW w:w="1620" w:type="dxa"/>
            <w:vMerge w:val="continue"/>
            <w:vAlign w:val="center"/>
          </w:tcPr>
          <w:p>
            <w:pPr>
              <w:widowControl/>
              <w:jc w:val="left"/>
              <w:rPr>
                <w:rFonts w:ascii="黑体" w:hAnsi="宋体" w:eastAsia="黑体"/>
                <w:color w:val="000000"/>
                <w:kern w:val="0"/>
                <w:sz w:val="22"/>
              </w:rPr>
            </w:pPr>
          </w:p>
        </w:tc>
        <w:tc>
          <w:tcPr>
            <w:tcW w:w="1786" w:type="dxa"/>
            <w:vMerge w:val="continue"/>
            <w:vAlign w:val="center"/>
          </w:tcPr>
          <w:p>
            <w:pPr>
              <w:widowControl/>
              <w:jc w:val="left"/>
              <w:rPr>
                <w:rFonts w:ascii="黑体" w:hAnsi="宋体" w:eastAsia="黑体"/>
                <w:kern w:val="0"/>
                <w:sz w:val="22"/>
              </w:rPr>
            </w:pPr>
          </w:p>
        </w:tc>
        <w:tc>
          <w:tcPr>
            <w:tcW w:w="554"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全社会</w:t>
            </w:r>
          </w:p>
        </w:tc>
        <w:tc>
          <w:tcPr>
            <w:tcW w:w="875"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特定群众</w:t>
            </w:r>
          </w:p>
        </w:tc>
        <w:tc>
          <w:tcPr>
            <w:tcW w:w="551"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主动</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依申请公开</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县级</w:t>
            </w:r>
          </w:p>
        </w:tc>
        <w:tc>
          <w:tcPr>
            <w:tcW w:w="720" w:type="dxa"/>
            <w:vAlign w:val="center"/>
          </w:tcPr>
          <w:p>
            <w:pPr>
              <w:widowControl/>
              <w:jc w:val="center"/>
              <w:rPr>
                <w:rFonts w:ascii="黑体" w:hAnsi="宋体" w:eastAsia="黑体"/>
                <w:color w:val="000000"/>
                <w:kern w:val="0"/>
                <w:sz w:val="22"/>
              </w:rPr>
            </w:pPr>
            <w:r>
              <w:rPr>
                <w:rFonts w:hint="eastAsia" w:ascii="黑体" w:hAnsi="宋体"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1</w:t>
            </w:r>
          </w:p>
        </w:tc>
        <w:tc>
          <w:tcPr>
            <w:tcW w:w="720" w:type="dxa"/>
            <w:vMerge w:val="restart"/>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征地前期准备</w:t>
            </w:r>
          </w:p>
        </w:tc>
        <w:tc>
          <w:tcPr>
            <w:tcW w:w="720" w:type="dxa"/>
            <w:vMerge w:val="restart"/>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拟征收土地告知</w:t>
            </w:r>
          </w:p>
        </w:tc>
        <w:tc>
          <w:tcPr>
            <w:tcW w:w="2714" w:type="dxa"/>
            <w:vMerge w:val="restart"/>
            <w:vAlign w:val="center"/>
          </w:tcPr>
          <w:p>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w:t>
            </w:r>
          </w:p>
        </w:tc>
        <w:tc>
          <w:tcPr>
            <w:tcW w:w="1260" w:type="dxa"/>
            <w:vMerge w:val="restart"/>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《国务院关于深化改革严格土地管理的决定》</w:t>
            </w: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在实地启动拟征收土地工作时，在村公示栏公开。</w:t>
            </w:r>
          </w:p>
          <w:p>
            <w:pPr>
              <w:spacing w:line="240" w:lineRule="exact"/>
              <w:rPr>
                <w:rFonts w:ascii="仿宋_GB2312" w:eastAsia="仿宋_GB2312"/>
                <w:color w:val="000000"/>
                <w:sz w:val="20"/>
                <w:szCs w:val="20"/>
              </w:rPr>
            </w:pPr>
          </w:p>
        </w:tc>
        <w:tc>
          <w:tcPr>
            <w:tcW w:w="1620" w:type="dxa"/>
            <w:vAlign w:val="center"/>
          </w:tcPr>
          <w:p>
            <w:pPr>
              <w:widowControl/>
              <w:spacing w:line="240" w:lineRule="exac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新华街道办事处</w:t>
            </w:r>
          </w:p>
        </w:tc>
        <w:tc>
          <w:tcPr>
            <w:tcW w:w="1786"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■村公示栏（电子屏）</w:t>
            </w:r>
          </w:p>
        </w:tc>
        <w:tc>
          <w:tcPr>
            <w:tcW w:w="554" w:type="dxa"/>
            <w:vAlign w:val="center"/>
          </w:tcPr>
          <w:p>
            <w:pPr>
              <w:widowControl/>
              <w:spacing w:line="240" w:lineRule="exact"/>
              <w:jc w:val="center"/>
              <w:rPr>
                <w:rFonts w:ascii="仿宋_GB2312" w:eastAsia="仿宋_GB2312"/>
                <w:color w:val="000000"/>
                <w:sz w:val="20"/>
                <w:szCs w:val="20"/>
              </w:rPr>
            </w:pPr>
          </w:p>
        </w:tc>
        <w:tc>
          <w:tcPr>
            <w:tcW w:w="875" w:type="dxa"/>
            <w:vAlign w:val="center"/>
          </w:tcPr>
          <w:p>
            <w:pPr>
              <w:spacing w:line="240" w:lineRule="exact"/>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spacing w:line="320" w:lineRule="exact"/>
              <w:jc w:val="center"/>
              <w:rPr>
                <w:rFonts w:ascii="仿宋_GB2312" w:eastAsia="仿宋_GB2312"/>
                <w:color w:val="000000"/>
                <w:sz w:val="20"/>
                <w:szCs w:val="20"/>
              </w:rPr>
            </w:pPr>
          </w:p>
        </w:tc>
        <w:tc>
          <w:tcPr>
            <w:tcW w:w="2714" w:type="dxa"/>
            <w:vMerge w:val="continue"/>
            <w:vAlign w:val="center"/>
          </w:tcPr>
          <w:p>
            <w:pPr>
              <w:widowControl/>
              <w:jc w:val="left"/>
              <w:rPr>
                <w:rFonts w:ascii="仿宋_GB2312" w:eastAsia="仿宋_GB2312"/>
                <w:color w:val="000000"/>
                <w:sz w:val="20"/>
                <w:szCs w:val="20"/>
              </w:rPr>
            </w:pPr>
          </w:p>
        </w:tc>
        <w:tc>
          <w:tcPr>
            <w:tcW w:w="1260" w:type="dxa"/>
            <w:vMerge w:val="continue"/>
            <w:vAlign w:val="center"/>
          </w:tcPr>
          <w:p>
            <w:pPr>
              <w:widowControl/>
              <w:rPr>
                <w:rFonts w:ascii="仿宋_GB2312" w:eastAsia="仿宋_GB2312"/>
                <w:color w:val="000000"/>
                <w:sz w:val="20"/>
                <w:szCs w:val="20"/>
              </w:rPr>
            </w:pP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收到征地批准文件之日起10个工作日内，在政府网站公开。</w:t>
            </w:r>
          </w:p>
        </w:tc>
        <w:tc>
          <w:tcPr>
            <w:tcW w:w="1620" w:type="dxa"/>
            <w:vAlign w:val="center"/>
          </w:tcPr>
          <w:p>
            <w:pPr>
              <w:widowControl/>
              <w:rPr>
                <w:rFonts w:hint="eastAsia" w:ascii="仿宋_GB2312" w:eastAsia="仿宋_GB2312"/>
                <w:color w:val="000000"/>
                <w:sz w:val="20"/>
                <w:szCs w:val="20"/>
                <w:lang w:eastAsia="zh-CN"/>
              </w:rPr>
            </w:pPr>
            <w:r>
              <w:rPr>
                <w:rFonts w:hint="eastAsia" w:ascii="仿宋_GB2312" w:hAnsi="宋体" w:eastAsia="仿宋_GB2312"/>
                <w:color w:val="000000"/>
                <w:sz w:val="20"/>
                <w:szCs w:val="20"/>
                <w:lang w:eastAsia="zh-CN"/>
              </w:rPr>
              <w:t>新华街道办事处</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tc>
        <w:tc>
          <w:tcPr>
            <w:tcW w:w="554"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875" w:type="dxa"/>
            <w:vAlign w:val="center"/>
          </w:tcPr>
          <w:p>
            <w:pPr>
              <w:jc w:val="center"/>
              <w:rPr>
                <w:rFonts w:ascii="仿宋_GB2312" w:eastAsia="仿宋_GB2312"/>
                <w:color w:val="000000"/>
                <w:sz w:val="20"/>
                <w:szCs w:val="20"/>
              </w:rPr>
            </w:pPr>
          </w:p>
        </w:tc>
        <w:tc>
          <w:tcPr>
            <w:tcW w:w="551"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c>
          <w:tcPr>
            <w:tcW w:w="720" w:type="dxa"/>
            <w:vAlign w:val="center"/>
          </w:tcPr>
          <w:p>
            <w:pPr>
              <w:widowControl/>
              <w:spacing w:line="240" w:lineRule="exact"/>
              <w:jc w:val="center"/>
              <w:rPr>
                <w:rFonts w:ascii="仿宋_GB2312"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2</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征地前期准备</w:t>
            </w:r>
          </w:p>
        </w:tc>
        <w:tc>
          <w:tcPr>
            <w:tcW w:w="720" w:type="dxa"/>
            <w:vMerge w:val="restart"/>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拟征收土地现状调查</w:t>
            </w:r>
          </w:p>
        </w:tc>
        <w:tc>
          <w:tcPr>
            <w:tcW w:w="2714" w:type="dxa"/>
            <w:vMerge w:val="restart"/>
            <w:vAlign w:val="center"/>
          </w:tcPr>
          <w:p>
            <w:pPr>
              <w:spacing w:line="240" w:lineRule="exact"/>
              <w:rPr>
                <w:rFonts w:ascii="仿宋_GB2312" w:eastAsia="仿宋_GB2312"/>
                <w:color w:val="000000"/>
                <w:sz w:val="20"/>
                <w:szCs w:val="20"/>
              </w:rPr>
            </w:pPr>
            <w:r>
              <w:rPr>
                <w:rFonts w:hint="eastAsia" w:ascii="仿宋_GB2312" w:eastAsia="仿宋_GB2312"/>
                <w:color w:val="000000"/>
                <w:sz w:val="20"/>
                <w:szCs w:val="20"/>
              </w:rPr>
              <w:t>拟征收土地现状调查结果按规定确认后，调查结果予以公开。</w:t>
            </w:r>
          </w:p>
          <w:p>
            <w:pPr>
              <w:spacing w:line="240" w:lineRule="exact"/>
              <w:rPr>
                <w:rFonts w:ascii="仿宋_GB2312" w:eastAsia="仿宋_GB2312"/>
                <w:color w:val="000000"/>
                <w:sz w:val="20"/>
                <w:szCs w:val="20"/>
              </w:rPr>
            </w:pPr>
            <w:r>
              <w:rPr>
                <w:rFonts w:hint="eastAsia" w:ascii="仿宋_GB2312" w:eastAsia="仿宋_GB2312"/>
                <w:color w:val="000000"/>
                <w:sz w:val="20"/>
                <w:szCs w:val="20"/>
              </w:rPr>
              <w:t>1.征收土地勘测调查表；</w:t>
            </w:r>
          </w:p>
          <w:p>
            <w:pPr>
              <w:spacing w:line="240" w:lineRule="exact"/>
              <w:rPr>
                <w:rFonts w:ascii="仿宋_GB2312" w:eastAsia="仿宋_GB2312"/>
                <w:color w:val="000000"/>
                <w:sz w:val="20"/>
                <w:szCs w:val="20"/>
              </w:rPr>
            </w:pPr>
            <w:r>
              <w:rPr>
                <w:rFonts w:hint="eastAsia" w:ascii="仿宋_GB2312" w:eastAsia="仿宋_GB2312"/>
                <w:color w:val="000000"/>
                <w:sz w:val="20"/>
                <w:szCs w:val="20"/>
              </w:rPr>
              <w:t>2.地上附着物和青苗调查登记表；</w:t>
            </w:r>
          </w:p>
          <w:p>
            <w:pPr>
              <w:widowControl/>
              <w:rPr>
                <w:rFonts w:ascii="仿宋_GB2312" w:eastAsia="仿宋_GB2312"/>
                <w:color w:val="000000"/>
                <w:sz w:val="20"/>
                <w:szCs w:val="20"/>
              </w:rPr>
            </w:pPr>
          </w:p>
        </w:tc>
        <w:tc>
          <w:tcPr>
            <w:tcW w:w="1260" w:type="dxa"/>
            <w:vMerge w:val="restart"/>
            <w:vAlign w:val="center"/>
          </w:tcPr>
          <w:p>
            <w:pPr>
              <w:widowControl/>
              <w:rPr>
                <w:rFonts w:ascii="仿宋_GB2312" w:eastAsia="仿宋_GB2312"/>
                <w:color w:val="000000"/>
                <w:sz w:val="20"/>
                <w:szCs w:val="20"/>
              </w:rPr>
            </w:pPr>
            <w:r>
              <w:rPr>
                <w:rFonts w:hint="eastAsia" w:ascii="仿宋_GB2312" w:eastAsia="仿宋_GB2312"/>
                <w:color w:val="000000"/>
                <w:sz w:val="20"/>
                <w:szCs w:val="20"/>
              </w:rPr>
              <w:t>《土地管理法》、《国务院关于深化改革严格土地管理的决定》</w:t>
            </w:r>
          </w:p>
        </w:tc>
        <w:tc>
          <w:tcPr>
            <w:tcW w:w="1980" w:type="dxa"/>
            <w:vAlign w:val="center"/>
          </w:tcPr>
          <w:p>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拟征收土地现状调查结束后5个工作日内，在村公示栏公开。</w:t>
            </w:r>
          </w:p>
        </w:tc>
        <w:tc>
          <w:tcPr>
            <w:tcW w:w="1620" w:type="dxa"/>
            <w:vAlign w:val="center"/>
          </w:tcPr>
          <w:p>
            <w:pPr>
              <w:widowControl/>
              <w:spacing w:line="240" w:lineRule="exac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新华街道办事处</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p>
            <w:pPr>
              <w:widowControl/>
              <w:rPr>
                <w:rFonts w:ascii="仿宋_GB2312" w:eastAsia="仿宋_GB2312"/>
                <w:color w:val="000000"/>
                <w:sz w:val="20"/>
                <w:szCs w:val="20"/>
              </w:rPr>
            </w:pPr>
            <w:r>
              <w:rPr>
                <w:rFonts w:hint="eastAsia" w:ascii="仿宋_GB2312" w:eastAsia="仿宋_GB2312"/>
                <w:color w:val="000000"/>
                <w:sz w:val="20"/>
                <w:szCs w:val="20"/>
              </w:rPr>
              <w:t xml:space="preserve"> </w:t>
            </w:r>
          </w:p>
          <w:p>
            <w:pPr>
              <w:widowControl/>
              <w:rPr>
                <w:rFonts w:ascii="仿宋_GB2312" w:eastAsia="仿宋_GB2312"/>
                <w:color w:val="000000"/>
                <w:sz w:val="20"/>
                <w:szCs w:val="20"/>
              </w:rPr>
            </w:pPr>
            <w:r>
              <w:rPr>
                <w:rFonts w:hint="eastAsia" w:ascii="仿宋_GB2312" w:eastAsia="仿宋_GB2312"/>
                <w:color w:val="000000"/>
                <w:sz w:val="20"/>
                <w:szCs w:val="20"/>
              </w:rPr>
              <w:br w:type="textWrapping"/>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3</w:t>
            </w:r>
          </w:p>
        </w:tc>
        <w:tc>
          <w:tcPr>
            <w:tcW w:w="720" w:type="dxa"/>
            <w:vMerge w:val="continue"/>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拟征地听证</w:t>
            </w:r>
          </w:p>
        </w:tc>
        <w:tc>
          <w:tcPr>
            <w:tcW w:w="2714" w:type="dxa"/>
            <w:vMerge w:val="restart"/>
            <w:vAlign w:val="center"/>
          </w:tcPr>
          <w:p>
            <w:pPr>
              <w:rPr>
                <w:rFonts w:ascii="仿宋_GB2312" w:eastAsia="仿宋_GB2312"/>
                <w:color w:val="000000"/>
                <w:sz w:val="20"/>
                <w:szCs w:val="20"/>
              </w:rPr>
            </w:pPr>
            <w:r>
              <w:rPr>
                <w:rFonts w:hint="eastAsia" w:ascii="仿宋_GB2312" w:eastAsia="仿宋_GB2312"/>
                <w:color w:val="000000"/>
                <w:sz w:val="20"/>
                <w:szCs w:val="20"/>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20"/>
                <w:szCs w:val="20"/>
              </w:rPr>
            </w:pPr>
            <w:r>
              <w:rPr>
                <w:rFonts w:hint="eastAsia" w:ascii="仿宋_GB2312" w:eastAsia="仿宋_GB2312"/>
                <w:color w:val="000000"/>
                <w:sz w:val="20"/>
                <w:szCs w:val="20"/>
              </w:rPr>
              <w:t>1.《听证通知书》；</w:t>
            </w:r>
          </w:p>
          <w:p>
            <w:pPr>
              <w:rPr>
                <w:rFonts w:ascii="仿宋_GB2312" w:eastAsia="仿宋_GB2312"/>
                <w:color w:val="000000"/>
                <w:sz w:val="20"/>
                <w:szCs w:val="20"/>
              </w:rPr>
            </w:pPr>
            <w:r>
              <w:rPr>
                <w:rFonts w:hint="eastAsia" w:ascii="仿宋_GB2312" w:eastAsia="仿宋_GB2312"/>
                <w:color w:val="000000"/>
                <w:sz w:val="20"/>
                <w:szCs w:val="20"/>
              </w:rPr>
              <w:t>2.听证处理意见；</w:t>
            </w:r>
          </w:p>
        </w:tc>
        <w:tc>
          <w:tcPr>
            <w:tcW w:w="1260" w:type="dxa"/>
            <w:vMerge w:val="restart"/>
            <w:vAlign w:val="center"/>
          </w:tcPr>
          <w:p>
            <w:pPr>
              <w:widowControl/>
              <w:rPr>
                <w:rFonts w:ascii="仿宋_GB2312" w:eastAsia="仿宋_GB2312"/>
                <w:color w:val="000000"/>
                <w:sz w:val="20"/>
                <w:szCs w:val="20"/>
              </w:rPr>
            </w:pPr>
            <w:r>
              <w:rPr>
                <w:rFonts w:hint="eastAsia" w:ascii="仿宋_GB2312" w:eastAsia="仿宋_GB2312"/>
                <w:color w:val="000000"/>
                <w:sz w:val="20"/>
                <w:szCs w:val="20"/>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20"/>
                <w:szCs w:val="20"/>
              </w:rPr>
            </w:pPr>
            <w:r>
              <w:rPr>
                <w:rFonts w:hint="eastAsia" w:ascii="仿宋_GB2312" w:eastAsia="仿宋_GB2312"/>
                <w:color w:val="000000"/>
                <w:sz w:val="20"/>
                <w:szCs w:val="20"/>
              </w:rPr>
              <w:t>①《听证通知书》应在组织听证7个工作日前予以公开；②其他听证公开内容在拟征地听证工作结束后5个工作日内在村公示栏公开。</w:t>
            </w:r>
          </w:p>
        </w:tc>
        <w:tc>
          <w:tcPr>
            <w:tcW w:w="1620" w:type="dxa"/>
            <w:vAlign w:val="center"/>
          </w:tcPr>
          <w:p>
            <w:pPr>
              <w:widowControl/>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新华街道办事处</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p>
            <w:pPr>
              <w:widowControl/>
              <w:rPr>
                <w:rFonts w:ascii="仿宋_GB2312" w:eastAsia="仿宋_GB2312"/>
                <w:color w:val="000000"/>
                <w:sz w:val="20"/>
                <w:szCs w:val="20"/>
              </w:rPr>
            </w:pPr>
            <w:r>
              <w:rPr>
                <w:rFonts w:hint="eastAsia" w:ascii="仿宋_GB2312" w:eastAsia="仿宋_GB2312"/>
                <w:color w:val="000000"/>
                <w:sz w:val="20"/>
                <w:szCs w:val="20"/>
              </w:rPr>
              <w:t xml:space="preserve">   </w:t>
            </w:r>
          </w:p>
          <w:p>
            <w:pPr>
              <w:widowControl/>
              <w:rPr>
                <w:rFonts w:ascii="仿宋_GB2312" w:eastAsia="仿宋_GB2312"/>
                <w:color w:val="000000"/>
                <w:sz w:val="20"/>
                <w:szCs w:val="20"/>
              </w:rPr>
            </w:pPr>
            <w:r>
              <w:rPr>
                <w:rFonts w:hint="eastAsia" w:ascii="仿宋_GB2312" w:eastAsia="仿宋_GB2312"/>
                <w:color w:val="000000"/>
                <w:sz w:val="20"/>
                <w:szCs w:val="20"/>
              </w:rPr>
              <w:br w:type="textWrapping"/>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√面向拟征收土地所在地的村集体成员</w:t>
            </w:r>
          </w:p>
        </w:tc>
        <w:tc>
          <w:tcPr>
            <w:tcW w:w="551"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54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spacing w:line="320" w:lineRule="exact"/>
              <w:jc w:val="center"/>
              <w:rPr>
                <w:rFonts w:ascii="仿宋_GB2312" w:eastAsia="仿宋_GB2312"/>
                <w:color w:val="000000"/>
                <w:sz w:val="20"/>
                <w:szCs w:val="20"/>
              </w:rPr>
            </w:pPr>
          </w:p>
        </w:tc>
        <w:tc>
          <w:tcPr>
            <w:tcW w:w="2714" w:type="dxa"/>
            <w:vMerge w:val="continue"/>
            <w:vAlign w:val="center"/>
          </w:tcPr>
          <w:p>
            <w:pPr>
              <w:widowControl/>
              <w:rPr>
                <w:rFonts w:ascii="仿宋_GB2312" w:eastAsia="仿宋_GB2312"/>
                <w:color w:val="000000"/>
                <w:sz w:val="20"/>
                <w:szCs w:val="20"/>
              </w:rPr>
            </w:pPr>
          </w:p>
        </w:tc>
        <w:tc>
          <w:tcPr>
            <w:tcW w:w="1260" w:type="dxa"/>
            <w:vMerge w:val="continue"/>
            <w:vAlign w:val="center"/>
          </w:tcPr>
          <w:p>
            <w:pPr>
              <w:widowControl/>
              <w:rPr>
                <w:rFonts w:ascii="仿宋_GB2312" w:eastAsia="仿宋_GB2312"/>
                <w:color w:val="000000"/>
                <w:sz w:val="20"/>
                <w:szCs w:val="20"/>
              </w:rPr>
            </w:pPr>
          </w:p>
        </w:tc>
        <w:tc>
          <w:tcPr>
            <w:tcW w:w="1980" w:type="dxa"/>
            <w:vAlign w:val="center"/>
          </w:tcPr>
          <w:p>
            <w:pPr>
              <w:rPr>
                <w:rFonts w:ascii="仿宋_GB2312" w:eastAsia="仿宋_GB2312"/>
                <w:color w:val="000000"/>
                <w:sz w:val="20"/>
                <w:szCs w:val="20"/>
              </w:rPr>
            </w:pPr>
            <w:r>
              <w:rPr>
                <w:rFonts w:hint="eastAsia" w:ascii="仿宋_GB2312" w:eastAsia="仿宋_GB2312"/>
                <w:color w:val="000000"/>
                <w:sz w:val="20"/>
                <w:szCs w:val="20"/>
              </w:rPr>
              <w:t>收到征地批准文件之日起10个工作日内，在政府网站公开。</w:t>
            </w:r>
          </w:p>
        </w:tc>
        <w:tc>
          <w:tcPr>
            <w:tcW w:w="1620" w:type="dxa"/>
            <w:vAlign w:val="center"/>
          </w:tcPr>
          <w:p>
            <w:pPr>
              <w:widowControl/>
              <w:spacing w:line="320" w:lineRule="exact"/>
              <w:jc w:val="center"/>
              <w:rPr>
                <w:rFonts w:hint="eastAsia" w:ascii="仿宋_GB2312" w:eastAsia="仿宋_GB2312"/>
                <w:color w:val="000000"/>
                <w:sz w:val="20"/>
                <w:szCs w:val="20"/>
                <w:lang w:eastAsia="zh-CN"/>
              </w:rPr>
            </w:pPr>
            <w:r>
              <w:rPr>
                <w:rFonts w:hint="eastAsia" w:ascii="仿宋_GB2312" w:hAnsi="宋体" w:eastAsia="仿宋_GB2312"/>
                <w:color w:val="000000"/>
                <w:sz w:val="20"/>
                <w:szCs w:val="20"/>
                <w:lang w:eastAsia="zh-CN"/>
              </w:rPr>
              <w:t>新华街道办事处</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w:t>
            </w:r>
            <w:r>
              <w:rPr>
                <w:rFonts w:hint="eastAsia" w:ascii="仿宋_GB2312" w:hAnsi="宋体" w:eastAsia="仿宋_GB2312"/>
                <w:color w:val="000000"/>
                <w:sz w:val="20"/>
                <w:szCs w:val="20"/>
              </w:rPr>
              <w:t xml:space="preserve">广州市花都区人民政府门户网站 </w:t>
            </w:r>
          </w:p>
        </w:tc>
        <w:tc>
          <w:tcPr>
            <w:tcW w:w="554"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875" w:type="dxa"/>
            <w:vAlign w:val="center"/>
          </w:tcPr>
          <w:p>
            <w:pPr>
              <w:jc w:val="center"/>
              <w:rPr>
                <w:rFonts w:ascii="仿宋_GB2312" w:eastAsia="仿宋_GB2312"/>
                <w:color w:val="000000"/>
                <w:sz w:val="20"/>
                <w:szCs w:val="20"/>
              </w:rPr>
            </w:pPr>
          </w:p>
        </w:tc>
        <w:tc>
          <w:tcPr>
            <w:tcW w:w="551"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c>
          <w:tcPr>
            <w:tcW w:w="720" w:type="dxa"/>
            <w:vMerge w:val="continue"/>
            <w:vAlign w:val="center"/>
          </w:tcPr>
          <w:p>
            <w:pPr>
              <w:widowControl/>
              <w:jc w:val="center"/>
              <w:rPr>
                <w:rFonts w:ascii="仿宋_GB2312"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4"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4</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征地组织实施</w:t>
            </w:r>
          </w:p>
        </w:tc>
        <w:tc>
          <w:tcPr>
            <w:tcW w:w="720" w:type="dxa"/>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征地补偿登记</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征地补偿登记汇总表。</w:t>
            </w:r>
          </w:p>
          <w:p>
            <w:pPr>
              <w:rPr>
                <w:rFonts w:ascii="仿宋_GB2312" w:eastAsia="仿宋_GB2312"/>
                <w:color w:val="000000"/>
                <w:sz w:val="20"/>
                <w:szCs w:val="20"/>
              </w:rPr>
            </w:pPr>
            <w:r>
              <w:rPr>
                <w:rFonts w:hint="eastAsia" w:ascii="仿宋_GB2312" w:eastAsia="仿宋_GB2312"/>
                <w:color w:val="000000"/>
                <w:sz w:val="20"/>
                <w:szCs w:val="20"/>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《土地管理法》、《政府信息公开条例》</w:t>
            </w: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征地补偿登记结束后5个工作日内公开。公示结束后，转为依申请公开。</w:t>
            </w:r>
          </w:p>
        </w:tc>
        <w:tc>
          <w:tcPr>
            <w:tcW w:w="1620" w:type="dxa"/>
            <w:vAlign w:val="center"/>
          </w:tcPr>
          <w:p>
            <w:pPr>
              <w:widowControl/>
              <w:spacing w:line="260" w:lineRule="exac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新华街道办事处</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 xml:space="preserve">■村公示栏（电子屏）  </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8"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5</w:t>
            </w:r>
          </w:p>
        </w:tc>
        <w:tc>
          <w:tcPr>
            <w:tcW w:w="720" w:type="dxa"/>
            <w:vMerge w:val="continue"/>
            <w:vAlign w:val="center"/>
          </w:tcPr>
          <w:p>
            <w:pPr>
              <w:widowControl/>
              <w:jc w:val="center"/>
              <w:rPr>
                <w:rFonts w:ascii="仿宋_GB2312" w:eastAsia="仿宋_GB2312"/>
                <w:color w:val="000000"/>
                <w:sz w:val="20"/>
                <w:szCs w:val="20"/>
              </w:rPr>
            </w:pPr>
          </w:p>
        </w:tc>
        <w:tc>
          <w:tcPr>
            <w:tcW w:w="720" w:type="dxa"/>
            <w:vAlign w:val="center"/>
          </w:tcPr>
          <w:p>
            <w:pPr>
              <w:widowControl/>
              <w:spacing w:line="320" w:lineRule="exact"/>
              <w:jc w:val="center"/>
              <w:rPr>
                <w:rFonts w:ascii="仿宋_GB2312" w:eastAsia="仿宋_GB2312"/>
                <w:color w:val="000000"/>
                <w:sz w:val="20"/>
                <w:szCs w:val="20"/>
              </w:rPr>
            </w:pPr>
            <w:r>
              <w:rPr>
                <w:rFonts w:hint="eastAsia" w:ascii="仿宋_GB2312" w:eastAsia="仿宋_GB2312"/>
                <w:color w:val="000000"/>
                <w:sz w:val="20"/>
                <w:szCs w:val="20"/>
              </w:rPr>
              <w:t>征地补偿安置方案公告</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征收土地公告期满后，县（市、区）自然资源主管部门和负责农村集体土地征收的有关部门拟定《征地补偿安置方案》并予以公开。</w:t>
            </w:r>
          </w:p>
          <w:p>
            <w:pPr>
              <w:rPr>
                <w:rFonts w:ascii="仿宋_GB2312" w:eastAsia="仿宋_GB2312"/>
                <w:color w:val="000000"/>
                <w:sz w:val="20"/>
                <w:szCs w:val="20"/>
              </w:rPr>
            </w:pPr>
            <w:r>
              <w:rPr>
                <w:rFonts w:hint="eastAsia" w:ascii="仿宋_GB2312" w:eastAsia="仿宋_GB2312"/>
                <w:color w:val="000000"/>
                <w:sz w:val="20"/>
                <w:szCs w:val="20"/>
              </w:rPr>
              <w:t>1.被征收土地的位置、地类、面积，地上附着物和青苗的种类、数量，需要安置的农业人口和数量；</w:t>
            </w:r>
            <w:r>
              <w:rPr>
                <w:rFonts w:ascii="仿宋_GB2312" w:eastAsia="仿宋_GB2312"/>
                <w:color w:val="000000"/>
                <w:sz w:val="20"/>
                <w:szCs w:val="20"/>
              </w:rPr>
              <w:t xml:space="preserve"> </w:t>
            </w:r>
          </w:p>
          <w:p>
            <w:pPr>
              <w:rPr>
                <w:rFonts w:ascii="仿宋_GB2312" w:eastAsia="仿宋_GB2312"/>
                <w:color w:val="000000"/>
                <w:sz w:val="20"/>
                <w:szCs w:val="20"/>
              </w:rPr>
            </w:pPr>
            <w:r>
              <w:rPr>
                <w:rFonts w:hint="eastAsia" w:ascii="仿宋_GB2312" w:eastAsia="仿宋_GB2312"/>
                <w:color w:val="000000"/>
                <w:sz w:val="20"/>
                <w:szCs w:val="20"/>
              </w:rPr>
              <w:t>2.土地补偿费和安置补助费的标准、数额、支付对象和支付方式；</w:t>
            </w:r>
          </w:p>
          <w:p>
            <w:pPr>
              <w:rPr>
                <w:rFonts w:ascii="仿宋_GB2312" w:eastAsia="仿宋_GB2312"/>
                <w:color w:val="000000"/>
                <w:sz w:val="20"/>
                <w:szCs w:val="20"/>
              </w:rPr>
            </w:pPr>
            <w:r>
              <w:rPr>
                <w:rFonts w:hint="eastAsia" w:ascii="仿宋_GB2312" w:eastAsia="仿宋_GB2312"/>
                <w:color w:val="000000"/>
                <w:sz w:val="20"/>
                <w:szCs w:val="20"/>
              </w:rPr>
              <w:t>3.地上附着物和青苗的补偿标准与支付方式；</w:t>
            </w:r>
          </w:p>
          <w:p>
            <w:pPr>
              <w:rPr>
                <w:rFonts w:ascii="仿宋_GB2312" w:eastAsia="仿宋_GB2312"/>
                <w:color w:val="000000"/>
                <w:sz w:val="20"/>
                <w:szCs w:val="20"/>
              </w:rPr>
            </w:pPr>
            <w:r>
              <w:rPr>
                <w:rFonts w:hint="eastAsia" w:ascii="仿宋_GB2312" w:eastAsia="仿宋_GB2312"/>
                <w:color w:val="000000"/>
                <w:sz w:val="20"/>
                <w:szCs w:val="20"/>
              </w:rPr>
              <w:t>4.社会保障费用的筹集方法、缴费比例和办法；</w:t>
            </w:r>
          </w:p>
          <w:p>
            <w:pPr>
              <w:rPr>
                <w:rFonts w:ascii="仿宋_GB2312" w:eastAsia="仿宋_GB2312"/>
                <w:color w:val="000000"/>
                <w:sz w:val="20"/>
                <w:szCs w:val="20"/>
              </w:rPr>
            </w:pPr>
            <w:r>
              <w:rPr>
                <w:rFonts w:hint="eastAsia" w:ascii="仿宋_GB2312" w:eastAsia="仿宋_GB2312"/>
                <w:color w:val="000000"/>
                <w:sz w:val="20"/>
                <w:szCs w:val="20"/>
              </w:rPr>
              <w:t>5.农业人员安置具体途径；</w:t>
            </w:r>
          </w:p>
          <w:p>
            <w:pPr>
              <w:rPr>
                <w:rFonts w:ascii="仿宋_GB2312" w:eastAsia="仿宋_GB2312"/>
                <w:color w:val="000000"/>
                <w:sz w:val="20"/>
                <w:szCs w:val="20"/>
              </w:rPr>
            </w:pPr>
            <w:r>
              <w:rPr>
                <w:rFonts w:hint="eastAsia" w:ascii="仿宋_GB2312" w:eastAsia="仿宋_GB2312"/>
                <w:color w:val="000000"/>
                <w:sz w:val="20"/>
                <w:szCs w:val="20"/>
              </w:rPr>
              <w:t>6.其他有关征地补偿、安置的具体措施；</w:t>
            </w:r>
          </w:p>
          <w:p>
            <w:pPr>
              <w:rPr>
                <w:rFonts w:ascii="仿宋_GB2312" w:eastAsia="仿宋_GB2312"/>
                <w:color w:val="000000"/>
                <w:sz w:val="20"/>
                <w:szCs w:val="20"/>
              </w:rPr>
            </w:pPr>
            <w:r>
              <w:rPr>
                <w:rFonts w:hint="eastAsia" w:ascii="仿宋_GB2312" w:eastAsia="仿宋_GB2312"/>
                <w:color w:val="000000"/>
                <w:sz w:val="20"/>
                <w:szCs w:val="20"/>
              </w:rPr>
              <w:t>7.听证等救济途径；</w:t>
            </w:r>
          </w:p>
          <w:p>
            <w:pPr>
              <w:rPr>
                <w:rFonts w:ascii="仿宋_GB2312" w:eastAsia="仿宋_GB2312"/>
                <w:color w:val="000000"/>
                <w:sz w:val="20"/>
                <w:szCs w:val="20"/>
              </w:rPr>
            </w:pPr>
            <w:r>
              <w:rPr>
                <w:rFonts w:hint="eastAsia" w:ascii="仿宋_GB2312" w:eastAsia="仿宋_GB2312"/>
                <w:color w:val="000000"/>
                <w:sz w:val="20"/>
                <w:szCs w:val="20"/>
              </w:rPr>
              <w:t>〔*征地补偿安置方案前置的，在前置环节一并公开〕。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《国土资源部办公厅关于进一步做好市县征地信息公开工作有关问题的通知》、《征收土地公告办法》。</w:t>
            </w: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拟定《征地补偿安置方案》后5个工作日内公开。</w:t>
            </w:r>
          </w:p>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公示结束后，转为依申请公开。</w:t>
            </w:r>
          </w:p>
          <w:p>
            <w:pPr>
              <w:widowControl/>
              <w:spacing w:line="320" w:lineRule="exact"/>
              <w:rPr>
                <w:rFonts w:ascii="仿宋_GB2312" w:eastAsia="仿宋_GB2312"/>
                <w:color w:val="000000"/>
                <w:sz w:val="20"/>
                <w:szCs w:val="20"/>
              </w:rPr>
            </w:pPr>
          </w:p>
        </w:tc>
        <w:tc>
          <w:tcPr>
            <w:tcW w:w="1620" w:type="dxa"/>
            <w:vAlign w:val="center"/>
          </w:tcPr>
          <w:p>
            <w:pPr>
              <w:widowControl/>
              <w:spacing w:line="320" w:lineRule="exac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新华街道办事处</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8"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6</w:t>
            </w:r>
          </w:p>
        </w:tc>
        <w:tc>
          <w:tcPr>
            <w:tcW w:w="720" w:type="dxa"/>
            <w:vMerge w:val="restart"/>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征地组织实施</w:t>
            </w:r>
          </w:p>
        </w:tc>
        <w:tc>
          <w:tcPr>
            <w:tcW w:w="720" w:type="dxa"/>
            <w:vAlign w:val="center"/>
          </w:tcPr>
          <w:p>
            <w:pPr>
              <w:widowControl/>
              <w:spacing w:line="320" w:lineRule="exact"/>
              <w:jc w:val="left"/>
              <w:rPr>
                <w:rFonts w:ascii="仿宋_GB2312" w:eastAsia="仿宋_GB2312"/>
                <w:color w:val="000000"/>
                <w:sz w:val="20"/>
                <w:szCs w:val="20"/>
              </w:rPr>
            </w:pPr>
            <w:r>
              <w:rPr>
                <w:rFonts w:hint="eastAsia" w:ascii="仿宋_GB2312" w:eastAsia="仿宋_GB2312"/>
                <w:color w:val="000000"/>
                <w:sz w:val="20"/>
                <w:szCs w:val="20"/>
              </w:rPr>
              <w:t>征地补偿安置方案听证</w:t>
            </w:r>
          </w:p>
        </w:tc>
        <w:tc>
          <w:tcPr>
            <w:tcW w:w="2714" w:type="dxa"/>
            <w:vAlign w:val="center"/>
          </w:tcPr>
          <w:p>
            <w:pPr>
              <w:rPr>
                <w:rFonts w:ascii="仿宋_GB2312" w:eastAsia="仿宋_GB2312"/>
                <w:color w:val="000000"/>
                <w:sz w:val="20"/>
                <w:szCs w:val="20"/>
              </w:rPr>
            </w:pPr>
            <w:r>
              <w:rPr>
                <w:rFonts w:hint="eastAsia" w:ascii="仿宋_GB2312" w:eastAsia="仿宋_GB2312"/>
                <w:color w:val="000000"/>
                <w:sz w:val="20"/>
                <w:szCs w:val="20"/>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20"/>
                <w:szCs w:val="20"/>
              </w:rPr>
            </w:pPr>
            <w:r>
              <w:rPr>
                <w:rFonts w:hint="eastAsia" w:ascii="仿宋_GB2312" w:eastAsia="仿宋_GB2312"/>
                <w:color w:val="000000"/>
                <w:sz w:val="20"/>
                <w:szCs w:val="20"/>
              </w:rPr>
              <w:t>1.《听证通知书》；</w:t>
            </w:r>
          </w:p>
          <w:p>
            <w:pPr>
              <w:rPr>
                <w:rFonts w:ascii="仿宋_GB2312" w:eastAsia="仿宋_GB2312"/>
                <w:color w:val="000000"/>
                <w:sz w:val="20"/>
                <w:szCs w:val="20"/>
              </w:rPr>
            </w:pPr>
            <w:r>
              <w:rPr>
                <w:rFonts w:hint="eastAsia" w:ascii="仿宋_GB2312" w:eastAsia="仿宋_GB2312"/>
                <w:color w:val="000000"/>
                <w:sz w:val="20"/>
                <w:szCs w:val="20"/>
              </w:rPr>
              <w:t>2.听证处理意见。</w:t>
            </w:r>
          </w:p>
        </w:tc>
        <w:tc>
          <w:tcPr>
            <w:tcW w:w="1260"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新华街道办事处</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5" w:hRule="atLeast"/>
          <w:jc w:val="center"/>
        </w:trPr>
        <w:tc>
          <w:tcPr>
            <w:tcW w:w="54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7</w:t>
            </w:r>
          </w:p>
        </w:tc>
        <w:tc>
          <w:tcPr>
            <w:tcW w:w="720" w:type="dxa"/>
            <w:vMerge w:val="continue"/>
            <w:vAlign w:val="center"/>
          </w:tcPr>
          <w:p>
            <w:pPr>
              <w:widowControl/>
              <w:jc w:val="center"/>
              <w:rPr>
                <w:rFonts w:ascii="仿宋_GB2312" w:eastAsia="仿宋_GB2312"/>
                <w:color w:val="000000"/>
                <w:sz w:val="20"/>
                <w:szCs w:val="20"/>
              </w:rPr>
            </w:pPr>
          </w:p>
        </w:tc>
        <w:tc>
          <w:tcPr>
            <w:tcW w:w="720" w:type="dxa"/>
            <w:vAlign w:val="center"/>
          </w:tcPr>
          <w:p>
            <w:pPr>
              <w:widowControl/>
              <w:spacing w:line="320" w:lineRule="exact"/>
              <w:jc w:val="left"/>
              <w:rPr>
                <w:rFonts w:ascii="仿宋_GB2312" w:eastAsia="仿宋_GB2312"/>
                <w:color w:val="000000"/>
                <w:sz w:val="20"/>
                <w:szCs w:val="20"/>
              </w:rPr>
            </w:pPr>
            <w:r>
              <w:rPr>
                <w:rFonts w:hint="eastAsia" w:ascii="仿宋_GB2312" w:eastAsia="仿宋_GB2312"/>
                <w:color w:val="000000"/>
                <w:sz w:val="20"/>
                <w:szCs w:val="20"/>
              </w:rPr>
              <w:t>征地补偿费用支付</w:t>
            </w:r>
          </w:p>
        </w:tc>
        <w:tc>
          <w:tcPr>
            <w:tcW w:w="2714"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征地补偿费用支付凭证。</w:t>
            </w:r>
          </w:p>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《政府信息公开条例》、《征收土地公告办法》</w:t>
            </w:r>
          </w:p>
          <w:p>
            <w:pPr>
              <w:widowControl/>
              <w:spacing w:line="320" w:lineRule="exact"/>
              <w:rPr>
                <w:rFonts w:ascii="仿宋_GB2312" w:eastAsia="仿宋_GB2312"/>
                <w:color w:val="000000"/>
                <w:sz w:val="20"/>
                <w:szCs w:val="20"/>
              </w:rPr>
            </w:pPr>
          </w:p>
        </w:tc>
        <w:tc>
          <w:tcPr>
            <w:tcW w:w="1980" w:type="dxa"/>
            <w:vAlign w:val="center"/>
          </w:tcPr>
          <w:p>
            <w:pPr>
              <w:widowControl/>
              <w:spacing w:line="320" w:lineRule="exact"/>
              <w:rPr>
                <w:rFonts w:ascii="仿宋_GB2312" w:eastAsia="仿宋_GB2312"/>
                <w:color w:val="000000"/>
                <w:sz w:val="20"/>
                <w:szCs w:val="20"/>
              </w:rPr>
            </w:pPr>
            <w:r>
              <w:rPr>
                <w:rFonts w:hint="eastAsia" w:ascii="仿宋_GB2312" w:eastAsia="仿宋_GB2312"/>
                <w:color w:val="000000"/>
                <w:sz w:val="20"/>
                <w:szCs w:val="20"/>
              </w:rPr>
              <w:t>获得支付凭证后5个工作日内予以公开。公示结束后，转为依申请公开。</w:t>
            </w:r>
          </w:p>
        </w:tc>
        <w:tc>
          <w:tcPr>
            <w:tcW w:w="1620" w:type="dxa"/>
            <w:vAlign w:val="center"/>
          </w:tcPr>
          <w:p>
            <w:pPr>
              <w:widowControl/>
              <w:spacing w:line="320" w:lineRule="exact"/>
              <w:rPr>
                <w:rFonts w:hint="eastAsia" w:ascii="仿宋_GB2312" w:eastAsia="仿宋_GB2312"/>
                <w:color w:val="000000"/>
                <w:sz w:val="20"/>
                <w:szCs w:val="20"/>
                <w:lang w:eastAsia="zh-CN"/>
              </w:rPr>
            </w:pPr>
            <w:r>
              <w:rPr>
                <w:rFonts w:hint="eastAsia" w:ascii="仿宋_GB2312" w:eastAsia="仿宋_GB2312"/>
                <w:color w:val="000000"/>
                <w:sz w:val="20"/>
                <w:szCs w:val="20"/>
                <w:lang w:eastAsia="zh-CN"/>
              </w:rPr>
              <w:t>新华街道办事处</w:t>
            </w:r>
          </w:p>
        </w:tc>
        <w:tc>
          <w:tcPr>
            <w:tcW w:w="1786" w:type="dxa"/>
            <w:vAlign w:val="center"/>
          </w:tcPr>
          <w:p>
            <w:pPr>
              <w:widowControl/>
              <w:rPr>
                <w:rFonts w:ascii="仿宋_GB2312" w:eastAsia="仿宋_GB2312"/>
                <w:color w:val="000000"/>
                <w:sz w:val="20"/>
                <w:szCs w:val="20"/>
              </w:rPr>
            </w:pPr>
            <w:r>
              <w:rPr>
                <w:rFonts w:hint="eastAsia" w:ascii="仿宋_GB2312" w:eastAsia="仿宋_GB2312"/>
                <w:color w:val="000000"/>
                <w:sz w:val="20"/>
                <w:szCs w:val="20"/>
              </w:rPr>
              <w:t>■村公示栏（电子屏）</w:t>
            </w:r>
          </w:p>
        </w:tc>
        <w:tc>
          <w:tcPr>
            <w:tcW w:w="554" w:type="dxa"/>
            <w:vAlign w:val="center"/>
          </w:tcPr>
          <w:p>
            <w:pPr>
              <w:widowControl/>
              <w:jc w:val="center"/>
              <w:rPr>
                <w:rFonts w:ascii="仿宋_GB2312" w:eastAsia="仿宋_GB2312"/>
                <w:color w:val="000000"/>
                <w:sz w:val="20"/>
                <w:szCs w:val="20"/>
              </w:rPr>
            </w:pPr>
          </w:p>
        </w:tc>
        <w:tc>
          <w:tcPr>
            <w:tcW w:w="875"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√拟征收土地所在地的村集体成员</w:t>
            </w:r>
          </w:p>
        </w:tc>
        <w:tc>
          <w:tcPr>
            <w:tcW w:w="551"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c>
          <w:tcPr>
            <w:tcW w:w="720" w:type="dxa"/>
            <w:vAlign w:val="center"/>
          </w:tcPr>
          <w:p>
            <w:pPr>
              <w:widowControl/>
              <w:jc w:val="center"/>
              <w:rPr>
                <w:rFonts w:ascii="仿宋_GB2312" w:eastAsia="仿宋_GB2312"/>
                <w:color w:val="000000"/>
                <w:sz w:val="20"/>
                <w:szCs w:val="20"/>
              </w:rPr>
            </w:pPr>
          </w:p>
        </w:tc>
        <w:tc>
          <w:tcPr>
            <w:tcW w:w="720" w:type="dxa"/>
            <w:vAlign w:val="center"/>
          </w:tcPr>
          <w:p>
            <w:pPr>
              <w:widowControl/>
              <w:jc w:val="center"/>
              <w:rPr>
                <w:rFonts w:ascii="仿宋_GB2312" w:eastAsia="仿宋_GB2312"/>
                <w:color w:val="000000"/>
                <w:sz w:val="20"/>
                <w:szCs w:val="20"/>
              </w:rPr>
            </w:pPr>
            <w:r>
              <w:rPr>
                <w:rFonts w:hint="eastAsia" w:ascii="仿宋_GB2312" w:eastAsia="仿宋_GB2312"/>
                <w:color w:val="000000"/>
                <w:sz w:val="20"/>
                <w:szCs w:val="20"/>
              </w:rPr>
              <w:t>√</w:t>
            </w:r>
          </w:p>
        </w:tc>
      </w:tr>
    </w:tbl>
    <w:p>
      <w:pPr>
        <w:pStyle w:val="2"/>
        <w:rPr>
          <w:rFonts w:ascii="仿宋" w:hAnsi="仿宋" w:eastAsia="仿宋" w:cs="仿宋"/>
          <w:sz w:val="32"/>
          <w:szCs w:val="32"/>
        </w:rPr>
      </w:pPr>
    </w:p>
    <w:p/>
    <w:p>
      <w:pPr>
        <w:numPr>
          <w:ilvl w:val="0"/>
          <w:numId w:val="1"/>
        </w:numPr>
        <w:jc w:val="center"/>
        <w:rPr>
          <w:rFonts w:hint="eastAsia" w:ascii="仿宋" w:hAnsi="仿宋" w:eastAsia="仿宋" w:cs="仿宋"/>
          <w:b/>
          <w:bCs/>
          <w:sz w:val="32"/>
          <w:szCs w:val="32"/>
        </w:rPr>
      </w:pPr>
      <w:r>
        <w:rPr>
          <w:rFonts w:hint="eastAsia" w:ascii="仿宋" w:hAnsi="仿宋" w:eastAsia="仿宋" w:cs="仿宋"/>
          <w:b/>
          <w:bCs/>
          <w:sz w:val="32"/>
          <w:szCs w:val="32"/>
        </w:rPr>
        <w:t>保障性住房领域基层政务公开标准目录</w:t>
      </w:r>
      <w:bookmarkEnd w:id="4"/>
    </w:p>
    <w:tbl>
      <w:tblPr>
        <w:tblStyle w:val="6"/>
        <w:tblpPr w:leftFromText="180" w:rightFromText="180" w:vertAnchor="text" w:horzAnchor="page" w:tblpX="1045" w:tblpY="489"/>
        <w:tblOverlap w:val="never"/>
        <w:tblW w:w="1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5"/>
        <w:gridCol w:w="1095"/>
        <w:gridCol w:w="1310"/>
        <w:gridCol w:w="1390"/>
        <w:gridCol w:w="1560"/>
        <w:gridCol w:w="1215"/>
        <w:gridCol w:w="1215"/>
        <w:gridCol w:w="1140"/>
        <w:gridCol w:w="765"/>
        <w:gridCol w:w="870"/>
        <w:gridCol w:w="1050"/>
        <w:gridCol w:w="1140"/>
        <w:gridCol w:w="840"/>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公开内容（要素）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县级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配给管理</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保障性住房申请受理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申请受理公告；</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申请条件、程序、期限和所需材料；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租赁补贴发放计划。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信息形成（变更）20个工作日内</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新华街道办事处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eastAsia="仿宋_GB2312"/>
                <w:color w:val="000000"/>
                <w:sz w:val="20"/>
                <w:szCs w:val="20"/>
              </w:rPr>
              <w:t>■</w:t>
            </w:r>
            <w:r>
              <w:rPr>
                <w:rFonts w:hint="eastAsia" w:ascii="仿宋_GB2312" w:eastAsia="仿宋_GB2312"/>
                <w:color w:val="000000"/>
                <w:sz w:val="20"/>
                <w:szCs w:val="20"/>
                <w:lang w:eastAsia="zh-CN"/>
              </w:rPr>
              <w:t>新华街</w:t>
            </w:r>
            <w:r>
              <w:rPr>
                <w:rFonts w:hint="eastAsia" w:ascii="仿宋_GB2312" w:hAnsi="宋体" w:eastAsia="仿宋_GB2312" w:cs="仿宋_GB2312"/>
                <w:i w:val="0"/>
                <w:color w:val="000000"/>
                <w:kern w:val="0"/>
                <w:sz w:val="20"/>
                <w:szCs w:val="20"/>
                <w:u w:val="none"/>
                <w:lang w:val="en-US" w:eastAsia="zh-CN" w:bidi="ar"/>
              </w:rPr>
              <w:t>政务服务中心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公租房承租资格审核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申请受理；</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审核结果：申请对象姓名、身份证号(隐藏部分号码)、申请房源类型；</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eastAsia="仿宋_GB2312"/>
                <w:color w:val="000000"/>
                <w:sz w:val="20"/>
                <w:szCs w:val="20"/>
              </w:rPr>
              <w:t>■</w:t>
            </w:r>
            <w:r>
              <w:rPr>
                <w:rFonts w:hint="eastAsia" w:ascii="仿宋_GB2312" w:eastAsia="仿宋_GB2312"/>
                <w:color w:val="000000"/>
                <w:sz w:val="20"/>
                <w:szCs w:val="20"/>
                <w:lang w:eastAsia="zh-CN"/>
              </w:rPr>
              <w:t>新华街</w:t>
            </w:r>
            <w:r>
              <w:rPr>
                <w:rFonts w:hint="eastAsia" w:ascii="仿宋_GB2312" w:hAnsi="宋体" w:eastAsia="仿宋_GB2312" w:cs="仿宋_GB2312"/>
                <w:i w:val="0"/>
                <w:color w:val="000000"/>
                <w:kern w:val="0"/>
                <w:sz w:val="20"/>
                <w:szCs w:val="20"/>
                <w:u w:val="none"/>
                <w:lang w:val="en-US" w:eastAsia="zh-CN" w:bidi="ar"/>
              </w:rPr>
              <w:t>政务服务中心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t>
            </w:r>
          </w:p>
        </w:tc>
      </w:tr>
    </w:tbl>
    <w:p>
      <w:pPr>
        <w:rPr>
          <w:sz w:val="20"/>
          <w:szCs w:val="20"/>
        </w:rPr>
      </w:pPr>
    </w:p>
    <w:sectPr>
      <w:footerReference r:id="rId8" w:type="default"/>
      <w:pgSz w:w="16838" w:h="11906" w:orient="landscape"/>
      <w:pgMar w:top="1304" w:right="1304" w:bottom="1304" w:left="1304"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BrV7nLaAQAAvQMAAA4AAAAAAAAAAQAg&#10;AAAAHgEAAGRycy9lMm9Eb2MueG1sUEsFBgAAAAAGAAYAWQEAAGoFA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8F055"/>
    <w:multiLevelType w:val="singleLevel"/>
    <w:tmpl w:val="5F98F055"/>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AA"/>
    <w:rsid w:val="00086496"/>
    <w:rsid w:val="00312D3F"/>
    <w:rsid w:val="005E3DFC"/>
    <w:rsid w:val="00717932"/>
    <w:rsid w:val="00765A97"/>
    <w:rsid w:val="008D19F9"/>
    <w:rsid w:val="00991241"/>
    <w:rsid w:val="009A49FB"/>
    <w:rsid w:val="009E3BAA"/>
    <w:rsid w:val="00B367E3"/>
    <w:rsid w:val="00BD7AEC"/>
    <w:rsid w:val="00C14773"/>
    <w:rsid w:val="00CB2512"/>
    <w:rsid w:val="00EE180C"/>
    <w:rsid w:val="00EF60D1"/>
    <w:rsid w:val="00FB2101"/>
    <w:rsid w:val="019E0CC7"/>
    <w:rsid w:val="01E03DF5"/>
    <w:rsid w:val="02100979"/>
    <w:rsid w:val="027018A9"/>
    <w:rsid w:val="02EF3F51"/>
    <w:rsid w:val="02F009F7"/>
    <w:rsid w:val="033819D5"/>
    <w:rsid w:val="03B22043"/>
    <w:rsid w:val="03C62729"/>
    <w:rsid w:val="03D5783A"/>
    <w:rsid w:val="04825304"/>
    <w:rsid w:val="04E562A6"/>
    <w:rsid w:val="05167A32"/>
    <w:rsid w:val="052E12FA"/>
    <w:rsid w:val="06225D2D"/>
    <w:rsid w:val="06D2761F"/>
    <w:rsid w:val="074557A6"/>
    <w:rsid w:val="07962EFD"/>
    <w:rsid w:val="07AE5CC7"/>
    <w:rsid w:val="07AE7B4E"/>
    <w:rsid w:val="09316CD1"/>
    <w:rsid w:val="099039AC"/>
    <w:rsid w:val="09FB3E15"/>
    <w:rsid w:val="0A1A7E01"/>
    <w:rsid w:val="0AEE0BAE"/>
    <w:rsid w:val="0C0321BC"/>
    <w:rsid w:val="0C4020B3"/>
    <w:rsid w:val="0CAF20C1"/>
    <w:rsid w:val="0D203B79"/>
    <w:rsid w:val="0D483A44"/>
    <w:rsid w:val="0DFD72D3"/>
    <w:rsid w:val="0E846C8A"/>
    <w:rsid w:val="0EC174C7"/>
    <w:rsid w:val="0F0F3909"/>
    <w:rsid w:val="0F392891"/>
    <w:rsid w:val="0FCB178A"/>
    <w:rsid w:val="0FFD5CD1"/>
    <w:rsid w:val="10052BF3"/>
    <w:rsid w:val="103E3616"/>
    <w:rsid w:val="10472587"/>
    <w:rsid w:val="105A2C3E"/>
    <w:rsid w:val="11742381"/>
    <w:rsid w:val="11FA7B83"/>
    <w:rsid w:val="12065F4D"/>
    <w:rsid w:val="121754E9"/>
    <w:rsid w:val="123A5F36"/>
    <w:rsid w:val="12D14477"/>
    <w:rsid w:val="12DC0AF7"/>
    <w:rsid w:val="13840A06"/>
    <w:rsid w:val="13CD55D7"/>
    <w:rsid w:val="14FB7D01"/>
    <w:rsid w:val="15672E86"/>
    <w:rsid w:val="15BA0B38"/>
    <w:rsid w:val="15CE2CB1"/>
    <w:rsid w:val="160F4C9E"/>
    <w:rsid w:val="16261EF4"/>
    <w:rsid w:val="16785254"/>
    <w:rsid w:val="16BD6AF4"/>
    <w:rsid w:val="16CD7C49"/>
    <w:rsid w:val="16D20ABB"/>
    <w:rsid w:val="17995204"/>
    <w:rsid w:val="185B4FF9"/>
    <w:rsid w:val="18BB1DEE"/>
    <w:rsid w:val="193F1353"/>
    <w:rsid w:val="199C206D"/>
    <w:rsid w:val="19BC6520"/>
    <w:rsid w:val="1A291544"/>
    <w:rsid w:val="1ACA6ECE"/>
    <w:rsid w:val="1B48403A"/>
    <w:rsid w:val="1B72290F"/>
    <w:rsid w:val="1BE757FD"/>
    <w:rsid w:val="1BFA40A5"/>
    <w:rsid w:val="1C4D79CB"/>
    <w:rsid w:val="1C9E4D3E"/>
    <w:rsid w:val="1CE74219"/>
    <w:rsid w:val="1D0F644E"/>
    <w:rsid w:val="1D637DB2"/>
    <w:rsid w:val="1DC91CDA"/>
    <w:rsid w:val="1DF2477D"/>
    <w:rsid w:val="1E334F86"/>
    <w:rsid w:val="1E673A37"/>
    <w:rsid w:val="1E7F1C40"/>
    <w:rsid w:val="1E9878C0"/>
    <w:rsid w:val="1EC54CD3"/>
    <w:rsid w:val="1F177331"/>
    <w:rsid w:val="1F3A5F93"/>
    <w:rsid w:val="1F6F5D3D"/>
    <w:rsid w:val="1F8A6D20"/>
    <w:rsid w:val="1F935400"/>
    <w:rsid w:val="1FCB7E46"/>
    <w:rsid w:val="20677479"/>
    <w:rsid w:val="225B1E18"/>
    <w:rsid w:val="22AB041F"/>
    <w:rsid w:val="22BB402E"/>
    <w:rsid w:val="24653D8A"/>
    <w:rsid w:val="24797650"/>
    <w:rsid w:val="2538152E"/>
    <w:rsid w:val="25AE7DD5"/>
    <w:rsid w:val="26016647"/>
    <w:rsid w:val="27252986"/>
    <w:rsid w:val="273C0FB9"/>
    <w:rsid w:val="27410052"/>
    <w:rsid w:val="27D55FE2"/>
    <w:rsid w:val="27E87760"/>
    <w:rsid w:val="28045331"/>
    <w:rsid w:val="28443A42"/>
    <w:rsid w:val="28542B62"/>
    <w:rsid w:val="288320E5"/>
    <w:rsid w:val="2A572652"/>
    <w:rsid w:val="2A83500C"/>
    <w:rsid w:val="2ABB3F90"/>
    <w:rsid w:val="2AFA246E"/>
    <w:rsid w:val="2B0D2C83"/>
    <w:rsid w:val="2B0D58F5"/>
    <w:rsid w:val="2C24437A"/>
    <w:rsid w:val="2C2629C8"/>
    <w:rsid w:val="2C560232"/>
    <w:rsid w:val="2CEF0205"/>
    <w:rsid w:val="2D01181F"/>
    <w:rsid w:val="2D18334B"/>
    <w:rsid w:val="2E6B54BA"/>
    <w:rsid w:val="2EC011E9"/>
    <w:rsid w:val="2F0B51E0"/>
    <w:rsid w:val="2F127B85"/>
    <w:rsid w:val="2F2D56CC"/>
    <w:rsid w:val="2F754846"/>
    <w:rsid w:val="30465628"/>
    <w:rsid w:val="31386C79"/>
    <w:rsid w:val="31A2522E"/>
    <w:rsid w:val="31BA4C8D"/>
    <w:rsid w:val="32744CCB"/>
    <w:rsid w:val="32885F63"/>
    <w:rsid w:val="328D4C10"/>
    <w:rsid w:val="32A45D02"/>
    <w:rsid w:val="335573A2"/>
    <w:rsid w:val="33F0610D"/>
    <w:rsid w:val="34251106"/>
    <w:rsid w:val="34695D56"/>
    <w:rsid w:val="34F81B69"/>
    <w:rsid w:val="35F17281"/>
    <w:rsid w:val="35FD61BA"/>
    <w:rsid w:val="36611BA6"/>
    <w:rsid w:val="36D242FB"/>
    <w:rsid w:val="36DE7D29"/>
    <w:rsid w:val="371819EA"/>
    <w:rsid w:val="3789316F"/>
    <w:rsid w:val="39E51BD4"/>
    <w:rsid w:val="3A4F486B"/>
    <w:rsid w:val="3A565A79"/>
    <w:rsid w:val="3A5F2385"/>
    <w:rsid w:val="3A7066D6"/>
    <w:rsid w:val="3A942E86"/>
    <w:rsid w:val="3A9C18CC"/>
    <w:rsid w:val="3AF75053"/>
    <w:rsid w:val="3BA52D4B"/>
    <w:rsid w:val="3C0013CE"/>
    <w:rsid w:val="3C0113D2"/>
    <w:rsid w:val="3C16243A"/>
    <w:rsid w:val="3C40377B"/>
    <w:rsid w:val="3C9F197D"/>
    <w:rsid w:val="3CBC3E93"/>
    <w:rsid w:val="3CFD39C7"/>
    <w:rsid w:val="3D937FF4"/>
    <w:rsid w:val="3D9E796F"/>
    <w:rsid w:val="3DA448DA"/>
    <w:rsid w:val="3DCB311D"/>
    <w:rsid w:val="3DE93C85"/>
    <w:rsid w:val="3E041BB0"/>
    <w:rsid w:val="3ECF223D"/>
    <w:rsid w:val="3EEE5356"/>
    <w:rsid w:val="3F241014"/>
    <w:rsid w:val="3F852FB2"/>
    <w:rsid w:val="3F941081"/>
    <w:rsid w:val="3FC2561A"/>
    <w:rsid w:val="40292B4D"/>
    <w:rsid w:val="40393A69"/>
    <w:rsid w:val="40746B2C"/>
    <w:rsid w:val="41057DAE"/>
    <w:rsid w:val="416A3CA3"/>
    <w:rsid w:val="421727B9"/>
    <w:rsid w:val="42C53328"/>
    <w:rsid w:val="433E2E88"/>
    <w:rsid w:val="43B83F03"/>
    <w:rsid w:val="43E61554"/>
    <w:rsid w:val="446C0ABB"/>
    <w:rsid w:val="447B2236"/>
    <w:rsid w:val="44995F38"/>
    <w:rsid w:val="453219AF"/>
    <w:rsid w:val="45571BA6"/>
    <w:rsid w:val="45F87705"/>
    <w:rsid w:val="46053B4B"/>
    <w:rsid w:val="46522EDA"/>
    <w:rsid w:val="465E7660"/>
    <w:rsid w:val="47132F32"/>
    <w:rsid w:val="4769314B"/>
    <w:rsid w:val="47772485"/>
    <w:rsid w:val="477A2B62"/>
    <w:rsid w:val="47853C56"/>
    <w:rsid w:val="47AD64D5"/>
    <w:rsid w:val="491D7902"/>
    <w:rsid w:val="49220932"/>
    <w:rsid w:val="49AF5834"/>
    <w:rsid w:val="4A080D08"/>
    <w:rsid w:val="4A5721EA"/>
    <w:rsid w:val="4A8A5DB1"/>
    <w:rsid w:val="4A8F05DD"/>
    <w:rsid w:val="4B0E7202"/>
    <w:rsid w:val="4B574FFD"/>
    <w:rsid w:val="4B795250"/>
    <w:rsid w:val="4BCF5586"/>
    <w:rsid w:val="4BDB19C4"/>
    <w:rsid w:val="4CB62C4D"/>
    <w:rsid w:val="4D053F1A"/>
    <w:rsid w:val="4D110F76"/>
    <w:rsid w:val="4D6B5438"/>
    <w:rsid w:val="4FBC4334"/>
    <w:rsid w:val="505A7D02"/>
    <w:rsid w:val="5169327F"/>
    <w:rsid w:val="519A45CA"/>
    <w:rsid w:val="52C12A1C"/>
    <w:rsid w:val="52E576BF"/>
    <w:rsid w:val="53046CDF"/>
    <w:rsid w:val="53171D00"/>
    <w:rsid w:val="537A3BA6"/>
    <w:rsid w:val="53A85EBC"/>
    <w:rsid w:val="542505A7"/>
    <w:rsid w:val="54E107E8"/>
    <w:rsid w:val="550C3F04"/>
    <w:rsid w:val="557609AF"/>
    <w:rsid w:val="55B16A17"/>
    <w:rsid w:val="55BA18FB"/>
    <w:rsid w:val="560E657B"/>
    <w:rsid w:val="56427F64"/>
    <w:rsid w:val="566F48D0"/>
    <w:rsid w:val="57EA4A14"/>
    <w:rsid w:val="58646FD3"/>
    <w:rsid w:val="58F25461"/>
    <w:rsid w:val="59CA6027"/>
    <w:rsid w:val="5A131379"/>
    <w:rsid w:val="5A571043"/>
    <w:rsid w:val="5B2F50D9"/>
    <w:rsid w:val="5B381703"/>
    <w:rsid w:val="5B7C7990"/>
    <w:rsid w:val="5BA22A90"/>
    <w:rsid w:val="5C545B19"/>
    <w:rsid w:val="5C9563F9"/>
    <w:rsid w:val="5CA422B7"/>
    <w:rsid w:val="5CAA19CE"/>
    <w:rsid w:val="5CF47F0B"/>
    <w:rsid w:val="5D7C6FEB"/>
    <w:rsid w:val="5DA807BC"/>
    <w:rsid w:val="5DE238D4"/>
    <w:rsid w:val="5DEE5478"/>
    <w:rsid w:val="5E1D660F"/>
    <w:rsid w:val="5E202DA9"/>
    <w:rsid w:val="5E3F6FBD"/>
    <w:rsid w:val="5EAB5BE0"/>
    <w:rsid w:val="5EC07E71"/>
    <w:rsid w:val="5EF9588F"/>
    <w:rsid w:val="5F222CF0"/>
    <w:rsid w:val="5F372927"/>
    <w:rsid w:val="5F9B3152"/>
    <w:rsid w:val="5F9D351C"/>
    <w:rsid w:val="5FE767D2"/>
    <w:rsid w:val="60072345"/>
    <w:rsid w:val="60A22E7F"/>
    <w:rsid w:val="60A94219"/>
    <w:rsid w:val="60C11D83"/>
    <w:rsid w:val="60D6798D"/>
    <w:rsid w:val="6140328B"/>
    <w:rsid w:val="61451B9A"/>
    <w:rsid w:val="61976306"/>
    <w:rsid w:val="619826CC"/>
    <w:rsid w:val="61B63AAF"/>
    <w:rsid w:val="61F45105"/>
    <w:rsid w:val="628C6AB9"/>
    <w:rsid w:val="63355B74"/>
    <w:rsid w:val="63BA3955"/>
    <w:rsid w:val="64346FA4"/>
    <w:rsid w:val="64D65820"/>
    <w:rsid w:val="651101D8"/>
    <w:rsid w:val="65E05808"/>
    <w:rsid w:val="661F03E3"/>
    <w:rsid w:val="66776653"/>
    <w:rsid w:val="67382DC2"/>
    <w:rsid w:val="6769207C"/>
    <w:rsid w:val="682905A4"/>
    <w:rsid w:val="68977472"/>
    <w:rsid w:val="6937293E"/>
    <w:rsid w:val="69CF2E3D"/>
    <w:rsid w:val="6A135B7F"/>
    <w:rsid w:val="6A184167"/>
    <w:rsid w:val="6A185FC1"/>
    <w:rsid w:val="6A455610"/>
    <w:rsid w:val="6B4B3BCD"/>
    <w:rsid w:val="6B517D55"/>
    <w:rsid w:val="6B920D6B"/>
    <w:rsid w:val="6BB76221"/>
    <w:rsid w:val="6BCD4261"/>
    <w:rsid w:val="6BCD66FB"/>
    <w:rsid w:val="6BE934F6"/>
    <w:rsid w:val="6C193A86"/>
    <w:rsid w:val="6C331849"/>
    <w:rsid w:val="6C5331A1"/>
    <w:rsid w:val="6CDA0C05"/>
    <w:rsid w:val="6D362E31"/>
    <w:rsid w:val="6D671DB9"/>
    <w:rsid w:val="6DCF7590"/>
    <w:rsid w:val="6E201704"/>
    <w:rsid w:val="6F013D12"/>
    <w:rsid w:val="6F700F17"/>
    <w:rsid w:val="6F744248"/>
    <w:rsid w:val="6FB126D0"/>
    <w:rsid w:val="6FE73679"/>
    <w:rsid w:val="70BB0D2B"/>
    <w:rsid w:val="7163602F"/>
    <w:rsid w:val="71C01310"/>
    <w:rsid w:val="71E4047A"/>
    <w:rsid w:val="71F65095"/>
    <w:rsid w:val="72520F4E"/>
    <w:rsid w:val="725342CA"/>
    <w:rsid w:val="730E374A"/>
    <w:rsid w:val="732501A4"/>
    <w:rsid w:val="73452AE6"/>
    <w:rsid w:val="7361149E"/>
    <w:rsid w:val="7366799D"/>
    <w:rsid w:val="73B44149"/>
    <w:rsid w:val="73E4380C"/>
    <w:rsid w:val="74520482"/>
    <w:rsid w:val="7465359A"/>
    <w:rsid w:val="74D67271"/>
    <w:rsid w:val="74F31F48"/>
    <w:rsid w:val="74FF7FF6"/>
    <w:rsid w:val="750D37C3"/>
    <w:rsid w:val="75182CF8"/>
    <w:rsid w:val="752A1B5D"/>
    <w:rsid w:val="752C5F7C"/>
    <w:rsid w:val="75A571CD"/>
    <w:rsid w:val="75DE133F"/>
    <w:rsid w:val="76AA449E"/>
    <w:rsid w:val="7703403C"/>
    <w:rsid w:val="770340E8"/>
    <w:rsid w:val="77310D4E"/>
    <w:rsid w:val="77411E11"/>
    <w:rsid w:val="78B31650"/>
    <w:rsid w:val="79160D81"/>
    <w:rsid w:val="79CB2CA0"/>
    <w:rsid w:val="7A4F7303"/>
    <w:rsid w:val="7AEC7106"/>
    <w:rsid w:val="7B0A51ED"/>
    <w:rsid w:val="7BCE257F"/>
    <w:rsid w:val="7C8C4E67"/>
    <w:rsid w:val="7CEE3D15"/>
    <w:rsid w:val="7DBF5581"/>
    <w:rsid w:val="7DE21A91"/>
    <w:rsid w:val="7E5041A5"/>
    <w:rsid w:val="7ECA312D"/>
    <w:rsid w:val="7F0A6DDD"/>
    <w:rsid w:val="7F2C0D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9"/>
    <w:qFormat/>
    <w:uiPriority w:val="99"/>
    <w:pPr>
      <w:keepNext/>
      <w:keepLines/>
      <w:spacing w:before="340" w:after="330" w:line="576"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4760"/>
      </w:tabs>
      <w:spacing w:line="700" w:lineRule="exact"/>
      <w:ind w:left="359" w:leftChars="171" w:right="332" w:rightChars="158"/>
    </w:pPr>
  </w:style>
  <w:style w:type="character" w:styleId="8">
    <w:name w:val="Hyperlink"/>
    <w:basedOn w:val="7"/>
    <w:unhideWhenUsed/>
    <w:qFormat/>
    <w:uiPriority w:val="99"/>
    <w:rPr>
      <w:color w:val="0000FF"/>
      <w:u w:val="single"/>
    </w:rPr>
  </w:style>
  <w:style w:type="character" w:customStyle="1" w:styleId="9">
    <w:name w:val="标题 1 Char"/>
    <w:basedOn w:val="7"/>
    <w:link w:val="2"/>
    <w:qFormat/>
    <w:uiPriority w:val="99"/>
    <w:rPr>
      <w:rFonts w:ascii="Calibri" w:hAnsi="Calibri" w:eastAsia="宋体" w:cs="宋体"/>
      <w:b/>
      <w:bCs/>
      <w:kern w:val="44"/>
      <w:sz w:val="44"/>
      <w:szCs w:val="44"/>
    </w:rPr>
  </w:style>
  <w:style w:type="character" w:customStyle="1" w:styleId="10">
    <w:name w:val="页眉 Char"/>
    <w:basedOn w:val="7"/>
    <w:link w:val="4"/>
    <w:semiHidden/>
    <w:qFormat/>
    <w:uiPriority w:val="99"/>
    <w:rPr>
      <w:rFonts w:ascii="Calibri" w:hAnsi="Calibri" w:cs="宋体"/>
      <w:kern w:val="2"/>
      <w:sz w:val="18"/>
      <w:szCs w:val="18"/>
    </w:rPr>
  </w:style>
  <w:style w:type="character" w:customStyle="1" w:styleId="11">
    <w:name w:val="页脚 Char"/>
    <w:basedOn w:val="7"/>
    <w:link w:val="3"/>
    <w:semiHidden/>
    <w:qFormat/>
    <w:uiPriority w:val="99"/>
    <w:rPr>
      <w:rFonts w:ascii="Calibri" w:hAnsi="Calibri" w:cs="宋体"/>
      <w:kern w:val="2"/>
      <w:sz w:val="18"/>
      <w:szCs w:val="18"/>
    </w:rPr>
  </w:style>
  <w:style w:type="character" w:customStyle="1" w:styleId="12">
    <w:name w:val="lemmawgt-lemmatitle-title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4087</Words>
  <Characters>23297</Characters>
  <Lines>194</Lines>
  <Paragraphs>54</Paragraphs>
  <TotalTime>0</TotalTime>
  <ScaleCrop>false</ScaleCrop>
  <LinksUpToDate>false</LinksUpToDate>
  <CharactersWithSpaces>27330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2020-10-20T02:30:00Z</dcterms:created>
  <dc:creator>NTKO</dc:creator>
  <cp:lastModifiedBy>508A</cp:lastModifiedBy>
  <cp:lastPrinted>2020-10-30T06:56:00Z</cp:lastPrinted>
  <dcterms:modified xsi:type="dcterms:W3CDTF">2020-11-10T07:39:49Z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