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w:t>
      </w:r>
    </w:p>
    <w:p>
      <w:pPr>
        <w:spacing w:line="560" w:lineRule="exact"/>
        <w:jc w:val="center"/>
        <w:rPr>
          <w:rFonts w:ascii="宋体" w:hAnsi="宋体"/>
          <w:b/>
          <w:bCs/>
          <w:sz w:val="44"/>
          <w:szCs w:val="44"/>
        </w:rPr>
      </w:pPr>
      <w:bookmarkStart w:id="0" w:name="_GoBack"/>
      <w:bookmarkEnd w:id="0"/>
      <w:r>
        <w:rPr>
          <w:rFonts w:hint="eastAsia" w:ascii="宋体" w:hAnsi="宋体"/>
          <w:b/>
          <w:bCs/>
          <w:sz w:val="44"/>
          <w:szCs w:val="44"/>
        </w:rPr>
        <w:t>用户需求书</w:t>
      </w:r>
    </w:p>
    <w:p>
      <w:pPr>
        <w:adjustRightInd w:val="0"/>
        <w:snapToGrid w:val="0"/>
        <w:spacing w:line="360" w:lineRule="auto"/>
        <w:ind w:left="787" w:right="315" w:rightChars="150" w:hanging="787" w:hangingChars="245"/>
        <w:rPr>
          <w:rFonts w:ascii="仿宋_GB2312" w:eastAsia="仿宋_GB2312"/>
          <w:b/>
          <w:bCs/>
          <w:sz w:val="32"/>
          <w:szCs w:val="32"/>
        </w:rPr>
      </w:pPr>
    </w:p>
    <w:p>
      <w:pPr>
        <w:adjustRightInd w:val="0"/>
        <w:snapToGrid w:val="0"/>
        <w:spacing w:line="360" w:lineRule="auto"/>
        <w:ind w:left="517" w:right="315" w:rightChars="150" w:hanging="517" w:hangingChars="245"/>
        <w:rPr>
          <w:rFonts w:ascii="仿宋_GB2312" w:eastAsia="仿宋_GB2312"/>
          <w:b/>
          <w:bCs/>
          <w:szCs w:val="21"/>
        </w:rPr>
      </w:pPr>
      <w:r>
        <w:rPr>
          <w:rFonts w:hint="eastAsia" w:ascii="仿宋_GB2312" w:eastAsia="仿宋_GB2312"/>
          <w:b/>
          <w:bCs/>
          <w:szCs w:val="21"/>
        </w:rPr>
        <w:t>说明：</w:t>
      </w:r>
    </w:p>
    <w:p>
      <w:pPr>
        <w:numPr>
          <w:ilvl w:val="0"/>
          <w:numId w:val="1"/>
        </w:numPr>
        <w:adjustRightInd w:val="0"/>
        <w:snapToGrid w:val="0"/>
        <w:spacing w:line="360" w:lineRule="auto"/>
        <w:rPr>
          <w:rFonts w:ascii="仿宋_GB2312" w:eastAsia="仿宋_GB2312"/>
          <w:b/>
          <w:bCs/>
          <w:szCs w:val="21"/>
        </w:rPr>
      </w:pPr>
      <w:r>
        <w:rPr>
          <w:rFonts w:hint="eastAsia" w:ascii="仿宋_GB2312" w:eastAsia="仿宋_GB2312"/>
          <w:b/>
          <w:bCs/>
          <w:szCs w:val="21"/>
        </w:rPr>
        <w:t xml:space="preserve">投标人须对本项目为单位的服务进行整体响应，任何只对其中一部分内容进行的响应都被视为无效响应。 </w:t>
      </w:r>
    </w:p>
    <w:p>
      <w:pPr>
        <w:numPr>
          <w:ilvl w:val="0"/>
          <w:numId w:val="1"/>
        </w:numPr>
        <w:snapToGrid w:val="0"/>
        <w:spacing w:line="360" w:lineRule="auto"/>
        <w:rPr>
          <w:rFonts w:ascii="仿宋_GB2312" w:eastAsia="仿宋_GB2312"/>
          <w:b/>
          <w:bCs/>
          <w:szCs w:val="21"/>
        </w:rPr>
      </w:pPr>
      <w:r>
        <w:rPr>
          <w:rFonts w:hint="eastAsia" w:ascii="仿宋_GB2312" w:eastAsia="仿宋_GB2312"/>
          <w:b/>
          <w:bCs/>
          <w:szCs w:val="21"/>
        </w:rPr>
        <w:t>如投标人所提供的产品涉及节能产品政府采购品目清单中加★号的，则必须为列入“节能产品政府采购品目清单”且在有效期内的政府强制采购节能产品，提供《节能产品政府采购品目清单》中投标产品所在清单页并对所投产品作出明显标示（如划线、圈记等）。“节能产品政府采购品目清单”可参见中国政府采购网（http://www.ccgp.gov.cn）。</w:t>
      </w:r>
    </w:p>
    <w:tbl>
      <w:tblPr>
        <w:tblStyle w:val="7"/>
        <w:tblW w:w="87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78"/>
        <w:gridCol w:w="2976"/>
        <w:gridCol w:w="24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jc w:val="center"/>
        </w:trPr>
        <w:tc>
          <w:tcPr>
            <w:tcW w:w="3378" w:type="dxa"/>
            <w:shd w:val="clear" w:color="auto" w:fill="EEECE1"/>
            <w:vAlign w:val="center"/>
          </w:tcPr>
          <w:p>
            <w:pPr>
              <w:jc w:val="center"/>
              <w:rPr>
                <w:rFonts w:ascii="仿宋_GB2312" w:eastAsia="仿宋_GB2312"/>
                <w:b/>
                <w:sz w:val="32"/>
                <w:szCs w:val="32"/>
              </w:rPr>
            </w:pPr>
            <w:r>
              <w:rPr>
                <w:rFonts w:hint="eastAsia" w:ascii="仿宋_GB2312" w:eastAsia="仿宋_GB2312"/>
                <w:b/>
                <w:sz w:val="32"/>
                <w:szCs w:val="32"/>
              </w:rPr>
              <w:t>采购内容</w:t>
            </w:r>
          </w:p>
        </w:tc>
        <w:tc>
          <w:tcPr>
            <w:tcW w:w="2976" w:type="dxa"/>
            <w:shd w:val="clear" w:color="auto" w:fill="EEECE1"/>
            <w:vAlign w:val="center"/>
          </w:tcPr>
          <w:p>
            <w:pPr>
              <w:jc w:val="center"/>
              <w:rPr>
                <w:rFonts w:ascii="仿宋_GB2312" w:eastAsia="仿宋_GB2312"/>
                <w:b/>
                <w:sz w:val="32"/>
                <w:szCs w:val="32"/>
              </w:rPr>
            </w:pPr>
            <w:r>
              <w:rPr>
                <w:rFonts w:hint="eastAsia" w:ascii="仿宋_GB2312" w:eastAsia="仿宋_GB2312"/>
                <w:b/>
                <w:sz w:val="32"/>
                <w:szCs w:val="32"/>
              </w:rPr>
              <w:t>服务期</w:t>
            </w:r>
          </w:p>
        </w:tc>
        <w:tc>
          <w:tcPr>
            <w:tcW w:w="2410" w:type="dxa"/>
            <w:shd w:val="clear" w:color="auto" w:fill="EEECE1"/>
            <w:vAlign w:val="center"/>
          </w:tcPr>
          <w:p>
            <w:pPr>
              <w:jc w:val="center"/>
              <w:rPr>
                <w:rFonts w:ascii="仿宋_GB2312" w:eastAsia="仿宋_GB2312"/>
                <w:b/>
                <w:sz w:val="32"/>
                <w:szCs w:val="32"/>
              </w:rPr>
            </w:pPr>
            <w:r>
              <w:rPr>
                <w:rFonts w:hint="eastAsia" w:ascii="仿宋_GB2312" w:eastAsia="仿宋_GB2312"/>
                <w:b/>
                <w:sz w:val="32"/>
                <w:szCs w:val="32"/>
              </w:rPr>
              <w:t>最高限价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6" w:hRule="atLeast"/>
          <w:jc w:val="center"/>
        </w:trPr>
        <w:tc>
          <w:tcPr>
            <w:tcW w:w="3378" w:type="dxa"/>
            <w:vAlign w:val="center"/>
          </w:tcPr>
          <w:p>
            <w:pPr>
              <w:jc w:val="center"/>
              <w:rPr>
                <w:rFonts w:ascii="仿宋_GB2312" w:eastAsia="仿宋_GB2312"/>
                <w:bCs/>
                <w:sz w:val="30"/>
                <w:szCs w:val="30"/>
              </w:rPr>
            </w:pPr>
            <w:r>
              <w:rPr>
                <w:rFonts w:hint="eastAsia" w:ascii="仿宋_GB2312" w:eastAsia="仿宋_GB2312"/>
                <w:bCs/>
                <w:sz w:val="30"/>
                <w:szCs w:val="30"/>
              </w:rPr>
              <w:t>2021年花都区科协科普宣传工作年度活动</w:t>
            </w:r>
          </w:p>
        </w:tc>
        <w:tc>
          <w:tcPr>
            <w:tcW w:w="2976" w:type="dxa"/>
            <w:vAlign w:val="center"/>
          </w:tcPr>
          <w:p>
            <w:pPr>
              <w:pStyle w:val="12"/>
              <w:spacing w:line="440" w:lineRule="exact"/>
              <w:ind w:firstLine="120"/>
              <w:rPr>
                <w:rFonts w:ascii="仿宋_GB2312" w:hAnsi="宋体" w:eastAsia="仿宋_GB2312"/>
                <w:snapToGrid/>
                <w:spacing w:val="0"/>
                <w:kern w:val="2"/>
                <w:sz w:val="30"/>
                <w:szCs w:val="30"/>
              </w:rPr>
            </w:pPr>
            <w:r>
              <w:rPr>
                <w:rFonts w:hint="eastAsia" w:ascii="仿宋_GB2312" w:hAnsi="宋体" w:eastAsia="仿宋_GB2312"/>
                <w:snapToGrid/>
                <w:spacing w:val="0"/>
                <w:kern w:val="2"/>
                <w:sz w:val="30"/>
                <w:szCs w:val="30"/>
              </w:rPr>
              <w:t>自合同签订之日起至2021年12月30日</w:t>
            </w:r>
          </w:p>
        </w:tc>
        <w:tc>
          <w:tcPr>
            <w:tcW w:w="2410" w:type="dxa"/>
            <w:vAlign w:val="center"/>
          </w:tcPr>
          <w:p>
            <w:pPr>
              <w:pStyle w:val="12"/>
              <w:spacing w:line="440" w:lineRule="exact"/>
              <w:ind w:firstLine="120"/>
              <w:rPr>
                <w:rFonts w:ascii="仿宋_GB2312" w:hAnsi="宋体" w:eastAsia="仿宋_GB2312"/>
                <w:snapToGrid/>
                <w:spacing w:val="0"/>
                <w:kern w:val="2"/>
                <w:sz w:val="30"/>
                <w:szCs w:val="30"/>
              </w:rPr>
            </w:pPr>
            <w:r>
              <w:rPr>
                <w:rFonts w:hint="eastAsia" w:ascii="仿宋_GB2312" w:hAnsi="宋体" w:eastAsia="仿宋_GB2312"/>
                <w:snapToGrid/>
                <w:spacing w:val="0"/>
                <w:kern w:val="2"/>
                <w:sz w:val="30"/>
                <w:szCs w:val="30"/>
              </w:rPr>
              <w:t>人民币35万元</w:t>
            </w:r>
          </w:p>
        </w:tc>
      </w:tr>
    </w:tbl>
    <w:p>
      <w:pPr>
        <w:pStyle w:val="3"/>
        <w:numPr>
          <w:ilvl w:val="0"/>
          <w:numId w:val="2"/>
        </w:numPr>
        <w:tabs>
          <w:tab w:val="left" w:pos="540"/>
        </w:tabs>
        <w:autoSpaceDE/>
        <w:autoSpaceDN/>
        <w:snapToGrid w:val="0"/>
        <w:spacing w:line="360" w:lineRule="auto"/>
        <w:jc w:val="both"/>
        <w:rPr>
          <w:rFonts w:ascii="仿宋_GB2312" w:hAnsi="宋体" w:eastAsia="仿宋_GB2312"/>
          <w:b/>
          <w:bCs/>
          <w:sz w:val="32"/>
          <w:szCs w:val="32"/>
        </w:rPr>
      </w:pPr>
      <w:r>
        <w:rPr>
          <w:rFonts w:hint="eastAsia" w:ascii="仿宋_GB2312" w:hAnsi="宋体" w:eastAsia="仿宋_GB2312"/>
          <w:b/>
          <w:bCs/>
          <w:sz w:val="32"/>
          <w:szCs w:val="32"/>
        </w:rPr>
        <w:t>项目概况</w:t>
      </w:r>
    </w:p>
    <w:p>
      <w:pPr>
        <w:pStyle w:val="3"/>
        <w:tabs>
          <w:tab w:val="left" w:pos="540"/>
        </w:tabs>
        <w:autoSpaceDE/>
        <w:autoSpaceDN/>
        <w:snapToGrid w:val="0"/>
        <w:spacing w:line="360" w:lineRule="auto"/>
        <w:ind w:firstLine="588" w:firstLineChars="196"/>
        <w:jc w:val="both"/>
        <w:rPr>
          <w:rFonts w:ascii="仿宋_GB2312" w:hAnsi="宋体" w:eastAsia="仿宋_GB2312"/>
          <w:b/>
          <w:bCs/>
          <w:sz w:val="30"/>
          <w:szCs w:val="30"/>
        </w:rPr>
      </w:pPr>
      <w:r>
        <w:rPr>
          <w:rFonts w:hint="eastAsia" w:ascii="仿宋_GB2312" w:hAnsi="仿宋_GB2312" w:eastAsia="仿宋_GB2312" w:cs="仿宋_GB2312"/>
          <w:sz w:val="30"/>
          <w:szCs w:val="30"/>
        </w:rPr>
        <w:t>今年是“十四五”开局之年，也是建党100周年。为进一步弘扬科学精神，加大群众科普宣传力度，丰富科普宣传内容，打造具有花都特色的科普品牌，提升科普公众品牌效益和影响力，</w:t>
      </w:r>
      <w:r>
        <w:rPr>
          <w:rFonts w:hint="eastAsia" w:ascii="仿宋_GB2312" w:hAnsi="仿宋" w:eastAsia="仿宋_GB2312" w:cs="仿宋"/>
          <w:sz w:val="30"/>
          <w:szCs w:val="30"/>
        </w:rPr>
        <w:t>按照《全民科学素质行动计划纲要实施方案》的要求，围绕推动《科学素质纲要》实施，着力科普资源开发与共享服务,科普阵地与条件建设、科普社会动员机制建设，组织和发动基层各级科协组织，区属社区、村居以及社会力量广泛开展科普活动，服务大局、重点突破，面向基层、关注民生，继承创新、务求实效，不断推动全民科学素质工作和科普工作取得新成绩。</w:t>
      </w:r>
    </w:p>
    <w:p>
      <w:pPr>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本项目确定一家中标人，为采购人提供2021年</w:t>
      </w:r>
      <w:r>
        <w:rPr>
          <w:rFonts w:hint="eastAsia" w:ascii="仿宋_GB2312" w:eastAsia="仿宋_GB2312"/>
          <w:bCs/>
          <w:sz w:val="30"/>
          <w:szCs w:val="30"/>
        </w:rPr>
        <w:t>花都区科协科普宣传工作年度活动发动、</w:t>
      </w:r>
      <w:r>
        <w:rPr>
          <w:rFonts w:hint="eastAsia" w:ascii="仿宋_GB2312" w:hAnsi="宋体" w:eastAsia="仿宋_GB2312" w:cs="仿宋_GB2312"/>
          <w:sz w:val="30"/>
          <w:szCs w:val="30"/>
        </w:rPr>
        <w:t>策划、执行、宣传等服务。中标人应配合采取第三方采购的方式开展项目，整个项目所有活动应结合科技创新、科普宣传、乡村振兴战略，围绕全国科普日活动主题，联合四街六街基层科协，调动科技创新企业、区属各级科普基地等相关产业配合组织实施</w:t>
      </w:r>
    </w:p>
    <w:p>
      <w:pPr>
        <w:pStyle w:val="3"/>
        <w:numPr>
          <w:ilvl w:val="0"/>
          <w:numId w:val="2"/>
        </w:numPr>
        <w:tabs>
          <w:tab w:val="left" w:pos="540"/>
        </w:tabs>
        <w:autoSpaceDE/>
        <w:autoSpaceDN/>
        <w:snapToGrid w:val="0"/>
        <w:spacing w:line="360" w:lineRule="auto"/>
        <w:jc w:val="both"/>
        <w:rPr>
          <w:rFonts w:ascii="仿宋_GB2312" w:hAnsi="宋体" w:eastAsia="仿宋_GB2312" w:cs="宋体"/>
          <w:sz w:val="30"/>
          <w:szCs w:val="30"/>
        </w:rPr>
      </w:pPr>
      <w:r>
        <w:rPr>
          <w:rFonts w:hint="eastAsia" w:ascii="仿宋_GB2312" w:hAnsi="宋体" w:eastAsia="仿宋_GB2312"/>
          <w:b/>
          <w:bCs/>
          <w:sz w:val="30"/>
          <w:szCs w:val="30"/>
        </w:rPr>
        <w:t>项目内容</w:t>
      </w:r>
    </w:p>
    <w:tbl>
      <w:tblPr>
        <w:tblStyle w:val="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620"/>
        <w:gridCol w:w="1080"/>
        <w:gridCol w:w="4878"/>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620" w:type="dxa"/>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1080" w:type="dxa"/>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时间</w:t>
            </w:r>
          </w:p>
        </w:tc>
        <w:tc>
          <w:tcPr>
            <w:tcW w:w="4878" w:type="dxa"/>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活动要求</w:t>
            </w:r>
          </w:p>
        </w:tc>
        <w:tc>
          <w:tcPr>
            <w:tcW w:w="702" w:type="dxa"/>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预算</w:t>
            </w:r>
          </w:p>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620" w:type="dxa"/>
            <w:vAlign w:val="center"/>
          </w:tcPr>
          <w:p>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举办2021年实用技术培训系列活动</w:t>
            </w:r>
          </w:p>
        </w:tc>
        <w:tc>
          <w:tcPr>
            <w:tcW w:w="1080" w:type="dxa"/>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4月-11月</w:t>
            </w:r>
          </w:p>
        </w:tc>
        <w:tc>
          <w:tcPr>
            <w:tcW w:w="4878" w:type="dxa"/>
            <w:vAlign w:val="center"/>
          </w:tcPr>
          <w:p>
            <w:pPr>
              <w:autoSpaceDE w:val="0"/>
              <w:autoSpaceDN w:val="0"/>
              <w:rPr>
                <w:rFonts w:asciiTheme="minorEastAsia" w:hAnsiTheme="minorEastAsia" w:eastAsiaTheme="minorEastAsia"/>
                <w:szCs w:val="21"/>
              </w:rPr>
            </w:pPr>
            <w:r>
              <w:rPr>
                <w:rFonts w:hint="eastAsia" w:asciiTheme="minorEastAsia" w:hAnsiTheme="minorEastAsia" w:eastAsiaTheme="minorEastAsia"/>
                <w:b/>
                <w:szCs w:val="21"/>
              </w:rPr>
              <w:t>1.活动要求：</w:t>
            </w:r>
            <w:r>
              <w:rPr>
                <w:rFonts w:hint="eastAsia" w:asciiTheme="minorEastAsia" w:hAnsiTheme="minorEastAsia" w:eastAsiaTheme="minorEastAsia"/>
                <w:szCs w:val="21"/>
              </w:rPr>
              <w:t xml:space="preserve"> 4月召开基层科协和区属学会会长、秘书长会议1次,进行纲要实施方案再学习。联合区农学会进行种植和养殖培训各1次，组织环境保护协会、中医学会、无线电协会等单位开展实用技术讲座、培训各1次，各类讲座共计5次，实用技术讲座应聘请专家进行授课讲解，每次活动人数不少于100人要求活动主题鲜明，口号响亮易记，具有传播力。</w:t>
            </w:r>
          </w:p>
          <w:p>
            <w:pPr>
              <w:autoSpaceDE w:val="0"/>
              <w:autoSpaceDN w:val="0"/>
              <w:rPr>
                <w:rFonts w:asciiTheme="minorEastAsia" w:hAnsiTheme="minorEastAsia" w:eastAsiaTheme="minorEastAsia"/>
                <w:szCs w:val="21"/>
              </w:rPr>
            </w:pPr>
            <w:r>
              <w:rPr>
                <w:rFonts w:hint="eastAsia" w:asciiTheme="minorEastAsia" w:hAnsiTheme="minorEastAsia" w:eastAsiaTheme="minorEastAsia"/>
                <w:b/>
                <w:szCs w:val="21"/>
              </w:rPr>
              <w:t>2.宣传要求：</w:t>
            </w:r>
            <w:r>
              <w:rPr>
                <w:rFonts w:hint="eastAsia" w:asciiTheme="minorEastAsia" w:hAnsiTheme="minorEastAsia" w:eastAsiaTheme="minorEastAsia"/>
                <w:szCs w:val="21"/>
              </w:rPr>
              <w:t>充分利用网络、微信公众号、等不少于10个媒体媒介进行活动的宣传工作，通过微信公众号、各类媒介加大对区科协科普宣传进行宣传报道，提升品牌影响力和知名度，让更多市民群众知道2021年花都科协组织科普宣传工作</w:t>
            </w:r>
          </w:p>
          <w:p>
            <w:pPr>
              <w:autoSpaceDE w:val="0"/>
              <w:autoSpaceDN w:val="0"/>
              <w:rPr>
                <w:rFonts w:asciiTheme="minorEastAsia" w:hAnsiTheme="minorEastAsia" w:eastAsiaTheme="minorEastAsia"/>
                <w:szCs w:val="21"/>
              </w:rPr>
            </w:pPr>
            <w:r>
              <w:rPr>
                <w:rFonts w:hint="eastAsia" w:asciiTheme="minorEastAsia" w:hAnsiTheme="minorEastAsia" w:eastAsiaTheme="minorEastAsia"/>
                <w:b/>
                <w:szCs w:val="21"/>
              </w:rPr>
              <w:t>3.费用要求：</w:t>
            </w:r>
            <w:r>
              <w:rPr>
                <w:rFonts w:hint="eastAsia" w:asciiTheme="minorEastAsia" w:hAnsiTheme="minorEastAsia" w:eastAsiaTheme="minorEastAsia"/>
                <w:szCs w:val="21"/>
              </w:rPr>
              <w:t>承担活动所需的策划、设计、场地、搭建、宣传、执行、奖品奖金、聘请专家教授授课、工作人员费用等所有费用。</w:t>
            </w:r>
          </w:p>
        </w:tc>
        <w:tc>
          <w:tcPr>
            <w:tcW w:w="702" w:type="dxa"/>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620" w:type="dxa"/>
            <w:vAlign w:val="center"/>
          </w:tcPr>
          <w:p>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组织2021年科普“四进”等系列活动</w:t>
            </w:r>
          </w:p>
        </w:tc>
        <w:tc>
          <w:tcPr>
            <w:tcW w:w="1080" w:type="dxa"/>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4月-12月</w:t>
            </w:r>
          </w:p>
        </w:tc>
        <w:tc>
          <w:tcPr>
            <w:tcW w:w="4878" w:type="dxa"/>
            <w:vAlign w:val="center"/>
          </w:tcPr>
          <w:p>
            <w:pPr>
              <w:autoSpaceDE w:val="0"/>
              <w:autoSpaceDN w:val="0"/>
              <w:jc w:val="left"/>
              <w:rPr>
                <w:rFonts w:asciiTheme="minorEastAsia" w:hAnsiTheme="minorEastAsia" w:eastAsiaTheme="minorEastAsia"/>
                <w:szCs w:val="21"/>
              </w:rPr>
            </w:pPr>
            <w:r>
              <w:rPr>
                <w:rFonts w:hint="eastAsia" w:asciiTheme="minorEastAsia" w:hAnsiTheme="minorEastAsia" w:eastAsiaTheme="minorEastAsia"/>
                <w:b/>
                <w:szCs w:val="21"/>
              </w:rPr>
              <w:t>1.活动要求：</w:t>
            </w:r>
            <w:r>
              <w:rPr>
                <w:rFonts w:hint="eastAsia" w:asciiTheme="minorEastAsia" w:hAnsiTheme="minorEastAsia" w:eastAsiaTheme="minorEastAsia"/>
                <w:szCs w:val="21"/>
              </w:rPr>
              <w:t>参加区委宣传部、统战部、区文明办等单位组织科普知识宣传文化进万家活动20场以上；全年组织科普进“四进”活动10场（含主场活动及各社区开展的相关科普活动）活动主要内容，一是科普进社区：</w:t>
            </w:r>
            <w:r>
              <w:rPr>
                <w:rFonts w:hint="eastAsia" w:asciiTheme="majorEastAsia" w:hAnsiTheme="majorEastAsia" w:eastAsiaTheme="majorEastAsia"/>
                <w:szCs w:val="21"/>
              </w:rPr>
              <w:t>信息与网络安全、绿色低碳与环境保护、禁毒与反邪教、健康科普及防震减灾、</w:t>
            </w:r>
            <w:r>
              <w:rPr>
                <w:rFonts w:hint="eastAsia" w:cs="仿宋" w:asciiTheme="majorEastAsia" w:hAnsiTheme="majorEastAsia" w:eastAsiaTheme="majorEastAsia"/>
                <w:szCs w:val="21"/>
              </w:rPr>
              <w:t>食品安全和“科学讲坛”等</w:t>
            </w:r>
            <w:r>
              <w:rPr>
                <w:rFonts w:hint="eastAsia" w:asciiTheme="minorEastAsia" w:hAnsiTheme="minorEastAsia" w:eastAsiaTheme="minorEastAsia"/>
                <w:szCs w:val="21"/>
              </w:rPr>
              <w:t xml:space="preserve">；二是科普进校园：反邪教宣传、毒品安全、青少年科技教育创新、人身安全防护和“科学讲坛”等；三是科技“三下乡”：按照《区科协2021年科普服务乡村振兴战略工作计划》要求组织种植、养殖、农作物防护、农村饮用水安全等；4.科普进企业：政策法规、生产安全、防火安全、专利保护和当今热点并与生活相关的科普知识。                      </w:t>
            </w:r>
          </w:p>
          <w:p>
            <w:pPr>
              <w:autoSpaceDE w:val="0"/>
              <w:autoSpaceDN w:val="0"/>
              <w:jc w:val="left"/>
              <w:rPr>
                <w:rFonts w:asciiTheme="minorEastAsia" w:hAnsiTheme="minorEastAsia" w:eastAsiaTheme="minorEastAsia"/>
                <w:szCs w:val="21"/>
              </w:rPr>
            </w:pPr>
            <w:r>
              <w:rPr>
                <w:rFonts w:hint="eastAsia" w:asciiTheme="minorEastAsia" w:hAnsiTheme="minorEastAsia" w:eastAsiaTheme="minorEastAsia"/>
                <w:b/>
                <w:szCs w:val="21"/>
              </w:rPr>
              <w:t>2.宣传要求：</w:t>
            </w:r>
            <w:r>
              <w:rPr>
                <w:rFonts w:hint="eastAsia" w:asciiTheme="minorEastAsia" w:hAnsiTheme="minorEastAsia" w:eastAsiaTheme="minorEastAsia"/>
                <w:szCs w:val="21"/>
              </w:rPr>
              <w:t>充分利用网络、微信公众号、等不少于10个媒体媒介进行活动的宣传工作，通过微信公众号、各类媒介加大对区科协科普宣传进行宣传报道，提升品牌影响力和知名度。</w:t>
            </w:r>
          </w:p>
          <w:p>
            <w:pPr>
              <w:autoSpaceDE w:val="0"/>
              <w:autoSpaceDN w:val="0"/>
              <w:jc w:val="left"/>
              <w:rPr>
                <w:rFonts w:asciiTheme="minorEastAsia" w:hAnsiTheme="minorEastAsia" w:eastAsiaTheme="minorEastAsia"/>
                <w:szCs w:val="21"/>
              </w:rPr>
            </w:pPr>
            <w:r>
              <w:rPr>
                <w:rFonts w:hint="eastAsia" w:asciiTheme="minorEastAsia" w:hAnsiTheme="minorEastAsia" w:eastAsiaTheme="minorEastAsia"/>
                <w:b/>
                <w:szCs w:val="21"/>
              </w:rPr>
              <w:t>3.费用要求：</w:t>
            </w:r>
            <w:r>
              <w:rPr>
                <w:rFonts w:hint="eastAsia" w:asciiTheme="minorEastAsia" w:hAnsiTheme="minorEastAsia" w:eastAsiaTheme="minorEastAsia"/>
                <w:szCs w:val="21"/>
              </w:rPr>
              <w:t>承担活动所需的策划、设计、场地、搭建、宣传、执行、聘请专家教授、工作人员费用等所有费用,科普文化进行万家主要是进行流动宣传栏的内容更新和更换及运费等。</w:t>
            </w:r>
          </w:p>
        </w:tc>
        <w:tc>
          <w:tcPr>
            <w:tcW w:w="702" w:type="dxa"/>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620" w:type="dxa"/>
            <w:vAlign w:val="center"/>
          </w:tcPr>
          <w:p>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花都区全民科学素质知识竞赛</w:t>
            </w:r>
          </w:p>
        </w:tc>
        <w:tc>
          <w:tcPr>
            <w:tcW w:w="1080" w:type="dxa"/>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6月-11月</w:t>
            </w:r>
          </w:p>
        </w:tc>
        <w:tc>
          <w:tcPr>
            <w:tcW w:w="4878" w:type="dxa"/>
            <w:vAlign w:val="center"/>
          </w:tcPr>
          <w:p>
            <w:pPr>
              <w:autoSpaceDE w:val="0"/>
              <w:autoSpaceDN w:val="0"/>
              <w:jc w:val="left"/>
              <w:rPr>
                <w:rFonts w:asciiTheme="minorEastAsia" w:hAnsiTheme="minorEastAsia" w:eastAsiaTheme="minorEastAsia"/>
                <w:szCs w:val="21"/>
              </w:rPr>
            </w:pPr>
            <w:r>
              <w:rPr>
                <w:rFonts w:hint="eastAsia" w:asciiTheme="minorEastAsia" w:hAnsiTheme="minorEastAsia" w:eastAsiaTheme="minorEastAsia"/>
                <w:b/>
                <w:szCs w:val="21"/>
              </w:rPr>
              <w:t>1.活动要求：</w:t>
            </w:r>
            <w:r>
              <w:rPr>
                <w:rFonts w:hint="eastAsia" w:asciiTheme="minorEastAsia" w:hAnsiTheme="minorEastAsia" w:eastAsiaTheme="minorEastAsia"/>
                <w:szCs w:val="21"/>
              </w:rPr>
              <w:t xml:space="preserve">5月组织花都区全面科学素质竞赛活动，选送优秀团队参加市级比赛 。区组织选拔竞赛，各镇街派一支代表队参加，参加比赛每支代表队3名成员以上。设一、二、三等奖，获得区级一等奖的团队代表区参加市级比赛。所有代表统一服装，比赛聘请专业评委和专业主持组织。参加市比赛的代表队统一组织车辆接送。                           </w:t>
            </w:r>
            <w:r>
              <w:rPr>
                <w:rFonts w:hint="eastAsia" w:asciiTheme="minorEastAsia" w:hAnsiTheme="minorEastAsia" w:eastAsiaTheme="minorEastAsia"/>
                <w:b/>
                <w:szCs w:val="21"/>
              </w:rPr>
              <w:t>2.宣传要求：</w:t>
            </w:r>
            <w:r>
              <w:rPr>
                <w:rFonts w:hint="eastAsia" w:asciiTheme="minorEastAsia" w:hAnsiTheme="minorEastAsia" w:eastAsiaTheme="minorEastAsia"/>
                <w:szCs w:val="21"/>
              </w:rPr>
              <w:t>充分利用网络、微信公众号、等不少于10个媒体媒介进行活动的宣传工作，通过微信公众号、各类媒介加大对区科协科普宣传进行宣传报道，提升品牌影响力和知名度，让更多市民群众了解道2021年花都科协科普宣传工作。</w:t>
            </w:r>
          </w:p>
          <w:p>
            <w:pPr>
              <w:autoSpaceDE w:val="0"/>
              <w:autoSpaceDN w:val="0"/>
              <w:rPr>
                <w:rFonts w:asciiTheme="minorEastAsia" w:hAnsiTheme="minorEastAsia" w:eastAsiaTheme="minorEastAsia"/>
                <w:szCs w:val="21"/>
              </w:rPr>
            </w:pPr>
            <w:r>
              <w:rPr>
                <w:rFonts w:hint="eastAsia" w:asciiTheme="minorEastAsia" w:hAnsiTheme="minorEastAsia" w:eastAsiaTheme="minorEastAsia"/>
                <w:b/>
                <w:szCs w:val="21"/>
              </w:rPr>
              <w:t>3.费用要求：</w:t>
            </w:r>
            <w:r>
              <w:rPr>
                <w:rFonts w:hint="eastAsia" w:asciiTheme="minorEastAsia" w:hAnsiTheme="minorEastAsia" w:eastAsiaTheme="minorEastAsia"/>
                <w:szCs w:val="21"/>
              </w:rPr>
              <w:t>承担活动所需的策划、设计、场地、搭建、宣传、执行、奖品奖金、聘请评委和专家教授、工作人员费用等所有费用。</w:t>
            </w:r>
          </w:p>
        </w:tc>
        <w:tc>
          <w:tcPr>
            <w:tcW w:w="702" w:type="dxa"/>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620" w:type="dxa"/>
            <w:vAlign w:val="center"/>
          </w:tcPr>
          <w:p>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2021年全国科普日活动启动仪式及系列配套活动</w:t>
            </w:r>
          </w:p>
        </w:tc>
        <w:tc>
          <w:tcPr>
            <w:tcW w:w="1080" w:type="dxa"/>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9月-12月</w:t>
            </w:r>
          </w:p>
        </w:tc>
        <w:tc>
          <w:tcPr>
            <w:tcW w:w="4878" w:type="dxa"/>
            <w:vAlign w:val="center"/>
          </w:tcPr>
          <w:p>
            <w:pPr>
              <w:autoSpaceDE w:val="0"/>
              <w:autoSpaceDN w:val="0"/>
              <w:rPr>
                <w:rFonts w:asciiTheme="minorEastAsia" w:hAnsiTheme="minorEastAsia" w:eastAsiaTheme="minorEastAsia"/>
                <w:szCs w:val="21"/>
              </w:rPr>
            </w:pPr>
            <w:r>
              <w:rPr>
                <w:rFonts w:hint="eastAsia" w:asciiTheme="minorEastAsia" w:hAnsiTheme="minorEastAsia" w:eastAsiaTheme="minorEastAsia"/>
                <w:b/>
                <w:szCs w:val="21"/>
              </w:rPr>
              <w:t>1.活动要求：</w:t>
            </w:r>
            <w:r>
              <w:rPr>
                <w:rFonts w:hint="eastAsia" w:asciiTheme="minorEastAsia" w:hAnsiTheme="minorEastAsia" w:eastAsiaTheme="minorEastAsia"/>
                <w:szCs w:val="21"/>
              </w:rPr>
              <w:t xml:space="preserve"> 9月份，以“全国科普日”活动为主题，举办花都区2021年全国科普日启动仪式及主场活动，主场活动需要有20家以上科技创新企业或优质科普基地进行科技创新成果展示， 9月至10月配合6个以上社区组织进行科普成果汇报展示活动6场次。要求活动主题鲜明，注重科技知识传播和新科技成果及科普互动体验，口号响亮易记，具有传播力。</w:t>
            </w:r>
          </w:p>
          <w:p>
            <w:pPr>
              <w:autoSpaceDE w:val="0"/>
              <w:autoSpaceDN w:val="0"/>
              <w:rPr>
                <w:rFonts w:asciiTheme="minorEastAsia" w:hAnsiTheme="minorEastAsia" w:eastAsiaTheme="minorEastAsia"/>
                <w:szCs w:val="21"/>
              </w:rPr>
            </w:pPr>
            <w:r>
              <w:rPr>
                <w:rFonts w:hint="eastAsia" w:asciiTheme="minorEastAsia" w:hAnsiTheme="minorEastAsia" w:eastAsiaTheme="minorEastAsia"/>
                <w:b/>
                <w:szCs w:val="21"/>
              </w:rPr>
              <w:t>2.宣传要求</w:t>
            </w:r>
            <w:r>
              <w:rPr>
                <w:rFonts w:hint="eastAsia" w:asciiTheme="minorEastAsia" w:hAnsiTheme="minorEastAsia" w:eastAsiaTheme="minorEastAsia"/>
                <w:szCs w:val="21"/>
              </w:rPr>
              <w:t>：充分利用网络、微信公众号、等不少于10个媒体媒介进行活动的宣传工作，通过微信公众号、各类媒介加大对区科协科普宣传进行宣传报道，提升品牌影响力和知名度，让更多市民群众知道2021年花都科协组织全国科普日系列庆典活动。</w:t>
            </w:r>
          </w:p>
          <w:p>
            <w:pPr>
              <w:autoSpaceDE w:val="0"/>
              <w:autoSpaceDN w:val="0"/>
              <w:rPr>
                <w:rFonts w:asciiTheme="minorEastAsia" w:hAnsiTheme="minorEastAsia" w:eastAsiaTheme="minorEastAsia"/>
                <w:szCs w:val="21"/>
              </w:rPr>
            </w:pPr>
            <w:r>
              <w:rPr>
                <w:rFonts w:hint="eastAsia" w:asciiTheme="minorEastAsia" w:hAnsiTheme="minorEastAsia" w:eastAsiaTheme="minorEastAsia"/>
                <w:b/>
                <w:szCs w:val="21"/>
              </w:rPr>
              <w:t>3.费用要求</w:t>
            </w:r>
            <w:r>
              <w:rPr>
                <w:rFonts w:hint="eastAsia" w:asciiTheme="minorEastAsia" w:hAnsiTheme="minorEastAsia" w:eastAsiaTheme="minorEastAsia"/>
                <w:szCs w:val="21"/>
              </w:rPr>
              <w:t>：承担活动所需的策划、设计、场地、搭建、宣传、执行、奖品奖金、工作人员费用等所有费用。</w:t>
            </w:r>
          </w:p>
        </w:tc>
        <w:tc>
          <w:tcPr>
            <w:tcW w:w="702" w:type="dxa"/>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autoSpaceDE w:val="0"/>
              <w:autoSpaceDN w:val="0"/>
              <w:jc w:val="center"/>
              <w:rPr>
                <w:rFonts w:asciiTheme="minorEastAsia" w:hAnsiTheme="minorEastAsia" w:eastAsiaTheme="minorEastAsia"/>
                <w:szCs w:val="21"/>
              </w:rPr>
            </w:pPr>
          </w:p>
        </w:tc>
        <w:tc>
          <w:tcPr>
            <w:tcW w:w="1620" w:type="dxa"/>
            <w:vAlign w:val="center"/>
          </w:tcPr>
          <w:p>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合计</w:t>
            </w:r>
          </w:p>
        </w:tc>
        <w:tc>
          <w:tcPr>
            <w:tcW w:w="1080" w:type="dxa"/>
            <w:vAlign w:val="center"/>
          </w:tcPr>
          <w:p>
            <w:pPr>
              <w:autoSpaceDE w:val="0"/>
              <w:autoSpaceDN w:val="0"/>
              <w:jc w:val="center"/>
              <w:rPr>
                <w:rFonts w:asciiTheme="minorEastAsia" w:hAnsiTheme="minorEastAsia" w:eastAsiaTheme="minorEastAsia"/>
                <w:szCs w:val="21"/>
              </w:rPr>
            </w:pPr>
          </w:p>
        </w:tc>
        <w:tc>
          <w:tcPr>
            <w:tcW w:w="4878" w:type="dxa"/>
            <w:vAlign w:val="center"/>
          </w:tcPr>
          <w:p>
            <w:pPr>
              <w:autoSpaceDE w:val="0"/>
              <w:autoSpaceDN w:val="0"/>
              <w:rPr>
                <w:rFonts w:asciiTheme="minorEastAsia" w:hAnsiTheme="minorEastAsia" w:eastAsiaTheme="minorEastAsia"/>
                <w:b/>
                <w:szCs w:val="21"/>
              </w:rPr>
            </w:pPr>
          </w:p>
        </w:tc>
        <w:tc>
          <w:tcPr>
            <w:tcW w:w="702" w:type="dxa"/>
            <w:vAlign w:val="center"/>
          </w:tcPr>
          <w:p>
            <w:pPr>
              <w:autoSpaceDE w:val="0"/>
              <w:autoSpaceDN w:val="0"/>
              <w:jc w:val="center"/>
              <w:rPr>
                <w:rFonts w:asciiTheme="minorEastAsia" w:hAnsiTheme="minorEastAsia" w:eastAsiaTheme="minorEastAsia"/>
                <w:szCs w:val="21"/>
              </w:rPr>
            </w:pPr>
            <w:r>
              <w:rPr>
                <w:rFonts w:hint="eastAsia" w:asciiTheme="minorEastAsia" w:hAnsiTheme="minorEastAsia" w:eastAsiaTheme="minorEastAsia"/>
                <w:szCs w:val="21"/>
              </w:rPr>
              <w:t>35</w:t>
            </w:r>
          </w:p>
        </w:tc>
      </w:tr>
    </w:tbl>
    <w:p>
      <w:pPr>
        <w:keepNext/>
        <w:keepLines/>
        <w:ind w:firstLine="596" w:firstLineChars="198"/>
        <w:outlineLvl w:val="1"/>
        <w:rPr>
          <w:rFonts w:ascii="仿宋_GB2312" w:hAnsi="宋体" w:eastAsia="仿宋_GB2312" w:cs="宋体"/>
          <w:b/>
          <w:sz w:val="30"/>
          <w:szCs w:val="30"/>
        </w:rPr>
      </w:pPr>
      <w:r>
        <w:rPr>
          <w:rFonts w:hint="eastAsia" w:ascii="仿宋_GB2312" w:hAnsi="宋体" w:eastAsia="仿宋_GB2312" w:cs="宋体"/>
          <w:b/>
          <w:sz w:val="30"/>
          <w:szCs w:val="30"/>
        </w:rPr>
        <w:t>三、项目要求</w:t>
      </w:r>
    </w:p>
    <w:p>
      <w:pPr>
        <w:spacing w:line="360" w:lineRule="auto"/>
        <w:ind w:firstLine="602" w:firstLineChars="200"/>
        <w:rPr>
          <w:rFonts w:ascii="仿宋_GB2312" w:hAnsi="宋体" w:eastAsia="仿宋_GB2312" w:cs="仿宋_GB2312"/>
          <w:sz w:val="30"/>
          <w:szCs w:val="30"/>
        </w:rPr>
      </w:pPr>
      <w:r>
        <w:rPr>
          <w:rFonts w:hint="eastAsia" w:ascii="仿宋_GB2312" w:hAnsi="宋体" w:eastAsia="仿宋_GB2312" w:cs="仿宋_GB2312"/>
          <w:b/>
          <w:sz w:val="30"/>
          <w:szCs w:val="30"/>
        </w:rPr>
        <w:t>（一）总体要求：</w:t>
      </w:r>
      <w:r>
        <w:rPr>
          <w:rFonts w:hint="eastAsia" w:ascii="仿宋_GB2312" w:hAnsi="宋体" w:eastAsia="仿宋_GB2312" w:cs="仿宋_GB2312"/>
          <w:sz w:val="30"/>
          <w:szCs w:val="30"/>
        </w:rPr>
        <w:t>全年活动分四个系列，总计活动47场次，每场活动包含线上线下宣传，每场活动要保证人员数量和品牌质量，并且一定要兼顾到社区、</w:t>
      </w:r>
      <w:r>
        <w:rPr>
          <w:rFonts w:hint="eastAsia" w:ascii="仿宋_GB2312" w:hAnsi="宋体" w:eastAsia="仿宋_GB2312" w:cs="宋体"/>
          <w:sz w:val="30"/>
          <w:szCs w:val="30"/>
        </w:rPr>
        <w:t>学校、乡村、企业</w:t>
      </w:r>
      <w:r>
        <w:rPr>
          <w:rFonts w:hint="eastAsia" w:ascii="仿宋_GB2312" w:hAnsi="宋体" w:eastAsia="仿宋_GB2312" w:cs="仿宋_GB2312"/>
          <w:sz w:val="30"/>
          <w:szCs w:val="30"/>
        </w:rPr>
        <w:t>四个层次，做到“月月有活动，处处有亮点，次次活动有新意”。</w:t>
      </w:r>
    </w:p>
    <w:p>
      <w:pPr>
        <w:autoSpaceDE w:val="0"/>
        <w:autoSpaceDN w:val="0"/>
        <w:spacing w:line="360" w:lineRule="auto"/>
        <w:ind w:firstLine="602" w:firstLineChars="200"/>
        <w:rPr>
          <w:rFonts w:ascii="仿宋_GB2312" w:hAnsi="宋体" w:eastAsia="仿宋_GB2312" w:cs="仿宋_GB2312"/>
          <w:b/>
          <w:sz w:val="30"/>
          <w:szCs w:val="30"/>
        </w:rPr>
      </w:pPr>
      <w:r>
        <w:rPr>
          <w:rFonts w:hint="eastAsia" w:ascii="仿宋_GB2312" w:hAnsi="宋体" w:eastAsia="仿宋_GB2312" w:cs="仿宋_GB2312"/>
          <w:b/>
          <w:sz w:val="30"/>
          <w:szCs w:val="30"/>
        </w:rPr>
        <w:t>（二）活动要求：</w:t>
      </w:r>
    </w:p>
    <w:p>
      <w:pPr>
        <w:autoSpaceDE w:val="0"/>
        <w:autoSpaceDN w:val="0"/>
        <w:spacing w:line="360" w:lineRule="auto"/>
        <w:ind w:firstLine="600" w:firstLineChars="200"/>
        <w:rPr>
          <w:rFonts w:ascii="仿宋_GB2312" w:hAnsi="宋体" w:eastAsia="仿宋_GB2312"/>
          <w:sz w:val="30"/>
          <w:szCs w:val="30"/>
        </w:rPr>
      </w:pPr>
      <w:r>
        <w:rPr>
          <w:rFonts w:hint="eastAsia" w:ascii="仿宋_GB2312" w:hAnsi="宋体" w:eastAsia="仿宋_GB2312" w:cs="仿宋_GB2312"/>
          <w:sz w:val="30"/>
          <w:szCs w:val="30"/>
        </w:rPr>
        <w:t>1.以“科普宣传”为主题，策划设计全年活动口号、宣传语、活动名称，要求活动口号、名称等应符合区科协科普宣传形象，力求大气、创新，突出花都特色；各活动间应相互关联、形成整体，具有传播力。</w:t>
      </w:r>
    </w:p>
    <w:p>
      <w:pPr>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2.活动内容策划应结合科技创新、科普宣传、乡村振兴战略，围绕全国科普日活动主题，联合四街六街基层科协，调动科技创新企业、区属各级科普基地和相关产业配合组织实施</w:t>
      </w:r>
    </w:p>
    <w:p>
      <w:pPr>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3.各活动开展时间应结合</w:t>
      </w:r>
      <w:r>
        <w:rPr>
          <w:rFonts w:hint="eastAsia" w:ascii="仿宋_GB2312" w:eastAsia="仿宋_GB2312" w:hAnsiTheme="minorEastAsia"/>
          <w:sz w:val="30"/>
          <w:szCs w:val="30"/>
        </w:rPr>
        <w:t>世界环境保护日、食品安全日、网络安全、防灾减灾日、禁毒、法制教育、健康养生、绿色低碳生活、消防安全、专利保护和当今热点、突发公共事情或与生活相关的科普知识</w:t>
      </w:r>
      <w:r>
        <w:rPr>
          <w:rFonts w:hint="eastAsia" w:ascii="仿宋_GB2312" w:hAnsi="宋体" w:eastAsia="仿宋_GB2312" w:cs="仿宋_GB2312"/>
          <w:sz w:val="30"/>
          <w:szCs w:val="30"/>
        </w:rPr>
        <w:t>宣传时间节点进行。</w:t>
      </w:r>
    </w:p>
    <w:p>
      <w:pPr>
        <w:spacing w:line="560" w:lineRule="exact"/>
        <w:ind w:firstLine="596" w:firstLineChars="198"/>
        <w:rPr>
          <w:rFonts w:ascii="仿宋_GB2312" w:hAnsi="宋体" w:eastAsia="仿宋_GB2312" w:cs="仿宋_GB2312"/>
          <w:b/>
          <w:sz w:val="30"/>
          <w:szCs w:val="30"/>
        </w:rPr>
      </w:pPr>
      <w:r>
        <w:rPr>
          <w:rFonts w:hint="eastAsia" w:ascii="仿宋_GB2312" w:hAnsi="宋体" w:eastAsia="仿宋_GB2312" w:cs="仿宋_GB2312"/>
          <w:b/>
          <w:sz w:val="30"/>
          <w:szCs w:val="30"/>
        </w:rPr>
        <w:t>（三）宣传要求：</w:t>
      </w:r>
    </w:p>
    <w:p>
      <w:pPr>
        <w:spacing w:line="560" w:lineRule="exact"/>
        <w:ind w:firstLine="738" w:firstLineChars="245"/>
        <w:rPr>
          <w:rFonts w:ascii="仿宋_GB2312" w:eastAsia="仿宋_GB2312"/>
          <w:sz w:val="30"/>
          <w:szCs w:val="30"/>
        </w:rPr>
      </w:pPr>
      <w:r>
        <w:rPr>
          <w:rFonts w:hint="eastAsia" w:ascii="仿宋_GB2312" w:hAnsi="宋体" w:eastAsia="仿宋_GB2312" w:cs="仿宋_GB2312"/>
          <w:b/>
          <w:sz w:val="30"/>
          <w:szCs w:val="30"/>
        </w:rPr>
        <w:t>1.</w:t>
      </w:r>
      <w:r>
        <w:rPr>
          <w:rFonts w:hint="eastAsia" w:ascii="仿宋_GB2312" w:hAnsi="宋体" w:eastAsia="仿宋_GB2312" w:cs="仿宋_GB2312"/>
          <w:sz w:val="30"/>
          <w:szCs w:val="30"/>
        </w:rPr>
        <w:t>活动宣传应充分结合线上线下宣传渠道，借助网络、微信公众号、电视台、电台、报纸、今日头条、学习强国等各类媒体，照片直播、视频直播等多种形式</w:t>
      </w:r>
      <w:r>
        <w:rPr>
          <w:rFonts w:hint="eastAsia" w:ascii="仿宋_GB2312" w:eastAsia="仿宋_GB2312"/>
          <w:sz w:val="30"/>
          <w:szCs w:val="30"/>
        </w:rPr>
        <w:t>进行宣传，每次活动的推文应在市、区级报纸或官方媒体上发表，一年应发表12篇以上。</w:t>
      </w:r>
    </w:p>
    <w:p>
      <w:pPr>
        <w:spacing w:line="560" w:lineRule="exact"/>
        <w:rPr>
          <w:rFonts w:ascii="仿宋_GB2312" w:eastAsia="仿宋_GB2312"/>
          <w:sz w:val="30"/>
          <w:szCs w:val="30"/>
        </w:rPr>
      </w:pPr>
      <w:r>
        <w:rPr>
          <w:rFonts w:hint="eastAsia" w:ascii="仿宋_GB2312" w:eastAsia="仿宋_GB2312"/>
          <w:sz w:val="30"/>
          <w:szCs w:val="30"/>
        </w:rPr>
        <w:t xml:space="preserve">     2.结合区科普宣传活动内容、形式及特色，认真打造科普宣传品牌文化，进而增加活动的知晓度和美誉度。</w:t>
      </w:r>
    </w:p>
    <w:p>
      <w:pPr>
        <w:spacing w:line="560" w:lineRule="exact"/>
        <w:rPr>
          <w:rFonts w:ascii="仿宋_GB2312" w:eastAsia="仿宋_GB2312"/>
          <w:sz w:val="30"/>
          <w:szCs w:val="30"/>
        </w:rPr>
      </w:pPr>
      <w:r>
        <w:rPr>
          <w:rFonts w:hint="eastAsia" w:ascii="仿宋_GB2312" w:eastAsia="仿宋_GB2312"/>
          <w:sz w:val="30"/>
          <w:szCs w:val="30"/>
        </w:rPr>
        <w:t xml:space="preserve">     3活动内容需在方案中标明具体宣传推广计划及执行方案。</w:t>
      </w:r>
    </w:p>
    <w:p>
      <w:pPr>
        <w:spacing w:line="360" w:lineRule="auto"/>
        <w:ind w:left="160" w:firstLine="450" w:firstLineChars="150"/>
        <w:rPr>
          <w:rFonts w:ascii="仿宋_GB2312" w:hAnsi="宋体" w:eastAsia="仿宋_GB2312" w:cs="仿宋_GB2312"/>
          <w:sz w:val="30"/>
          <w:szCs w:val="30"/>
        </w:rPr>
      </w:pPr>
      <w:r>
        <w:rPr>
          <w:rFonts w:hint="eastAsia" w:ascii="仿宋_GB2312" w:hAnsi="宋体" w:eastAsia="仿宋_GB2312" w:cs="仿宋_GB2312"/>
          <w:sz w:val="30"/>
          <w:szCs w:val="30"/>
        </w:rPr>
        <w:t>具体要求如下：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5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840" w:type="dxa"/>
          </w:tcPr>
          <w:p>
            <w:pPr>
              <w:spacing w:line="600" w:lineRule="exact"/>
              <w:jc w:val="center"/>
              <w:rPr>
                <w:rFonts w:cs="黑体" w:asciiTheme="minorEastAsia" w:hAnsiTheme="minorEastAsia" w:eastAsiaTheme="minorEastAsia"/>
                <w:szCs w:val="21"/>
              </w:rPr>
            </w:pPr>
            <w:r>
              <w:rPr>
                <w:rFonts w:hint="eastAsia" w:cs="黑体" w:asciiTheme="minorEastAsia" w:hAnsiTheme="minorEastAsia" w:eastAsiaTheme="minorEastAsia"/>
                <w:szCs w:val="21"/>
              </w:rPr>
              <w:t>媒体类别</w:t>
            </w:r>
          </w:p>
        </w:tc>
        <w:tc>
          <w:tcPr>
            <w:tcW w:w="5434" w:type="dxa"/>
            <w:vAlign w:val="center"/>
          </w:tcPr>
          <w:p>
            <w:pPr>
              <w:spacing w:line="600" w:lineRule="exact"/>
              <w:jc w:val="center"/>
              <w:rPr>
                <w:rFonts w:cs="黑体" w:asciiTheme="minorEastAsia" w:hAnsiTheme="minorEastAsia" w:eastAsiaTheme="minorEastAsia"/>
                <w:szCs w:val="21"/>
              </w:rPr>
            </w:pPr>
            <w:r>
              <w:rPr>
                <w:rFonts w:hint="eastAsia" w:cs="黑体" w:asciiTheme="minorEastAsia" w:hAnsiTheme="minorEastAsia" w:eastAsiaTheme="minorEastAsia"/>
                <w:szCs w:val="21"/>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autoSpaceDE w:val="0"/>
              <w:autoSpaceDN w:val="0"/>
              <w:jc w:val="center"/>
              <w:rPr>
                <w:rFonts w:asciiTheme="minorEastAsia" w:hAnsiTheme="minorEastAsia" w:eastAsiaTheme="minorEastAsia"/>
                <w:szCs w:val="21"/>
              </w:rPr>
            </w:pPr>
            <w:r>
              <w:rPr>
                <w:rFonts w:hint="eastAsia" w:cs="仿宋_GB2312" w:asciiTheme="minorEastAsia" w:hAnsiTheme="minorEastAsia" w:eastAsiaTheme="minorEastAsia"/>
                <w:szCs w:val="21"/>
              </w:rPr>
              <w:t>主流媒体</w:t>
            </w:r>
          </w:p>
        </w:tc>
        <w:tc>
          <w:tcPr>
            <w:tcW w:w="5434" w:type="dxa"/>
            <w:vAlign w:val="center"/>
          </w:tcPr>
          <w:p>
            <w:pPr>
              <w:autoSpaceDE w:val="0"/>
              <w:autoSpaceDN w:val="0"/>
              <w:spacing w:line="400" w:lineRule="exact"/>
              <w:rPr>
                <w:rFonts w:asciiTheme="minorEastAsia" w:hAnsiTheme="minorEastAsia" w:eastAsiaTheme="minorEastAsia"/>
                <w:szCs w:val="21"/>
              </w:rPr>
            </w:pPr>
            <w:r>
              <w:rPr>
                <w:rFonts w:hint="eastAsia" w:asciiTheme="minorEastAsia" w:hAnsiTheme="minorEastAsia" w:eastAsiaTheme="minorEastAsia"/>
                <w:szCs w:val="21"/>
              </w:rPr>
              <w:t>包括但不限于花都区融媒体中心、广州电视台、广州日报、南方都市报、</w:t>
            </w:r>
            <w:r>
              <w:rPr>
                <w:rFonts w:hint="eastAsia" w:asciiTheme="minorEastAsia" w:hAnsiTheme="minorEastAsia" w:eastAsiaTheme="minorEastAsia"/>
                <w:szCs w:val="21"/>
                <w:lang w:val="zh-TW"/>
              </w:rPr>
              <w:t>羊城晚报、南方日报、信息时报、广东电视台、网易、新浪、今日头条、</w:t>
            </w:r>
            <w:r>
              <w:rPr>
                <w:rFonts w:hint="eastAsia" w:asciiTheme="minorEastAsia" w:hAnsiTheme="minorEastAsia" w:eastAsiaTheme="minorEastAsia"/>
                <w:szCs w:val="21"/>
              </w:rPr>
              <w:t>央广网、</w:t>
            </w:r>
            <w:r>
              <w:rPr>
                <w:rFonts w:hint="eastAsia" w:asciiTheme="minorEastAsia" w:hAnsiTheme="minorEastAsia" w:eastAsiaTheme="minorEastAsia"/>
                <w:szCs w:val="21"/>
                <w:lang w:val="zh-TW"/>
              </w:rPr>
              <w:t>凤凰网、金羊网、触电新闻、优酷、土豆网、学习强国等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60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自媒体</w:t>
            </w:r>
          </w:p>
        </w:tc>
        <w:tc>
          <w:tcPr>
            <w:tcW w:w="5434" w:type="dxa"/>
            <w:vAlign w:val="center"/>
          </w:tcPr>
          <w:p>
            <w:pPr>
              <w:autoSpaceDE w:val="0"/>
              <w:autoSpaceDN w:val="0"/>
              <w:spacing w:line="400" w:lineRule="exact"/>
              <w:rPr>
                <w:rFonts w:asciiTheme="minorEastAsia" w:hAnsiTheme="minorEastAsia" w:eastAsiaTheme="minorEastAsia"/>
                <w:szCs w:val="21"/>
              </w:rPr>
            </w:pPr>
            <w:r>
              <w:rPr>
                <w:rFonts w:hint="eastAsia" w:asciiTheme="minorEastAsia" w:hAnsiTheme="minorEastAsia" w:eastAsiaTheme="minorEastAsia"/>
                <w:szCs w:val="21"/>
              </w:rPr>
              <w:t>微信公众号，要求粉丝数量达到10万+量级的，。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60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报纸和电台</w:t>
            </w:r>
          </w:p>
        </w:tc>
        <w:tc>
          <w:tcPr>
            <w:tcW w:w="5434" w:type="dxa"/>
            <w:vAlign w:val="center"/>
          </w:tcPr>
          <w:p>
            <w:pPr>
              <w:autoSpaceDE w:val="0"/>
              <w:autoSpaceDN w:val="0"/>
              <w:spacing w:line="400" w:lineRule="exact"/>
              <w:rPr>
                <w:rFonts w:asciiTheme="minorEastAsia" w:hAnsiTheme="minorEastAsia" w:eastAsiaTheme="minorEastAsia"/>
                <w:szCs w:val="21"/>
              </w:rPr>
            </w:pPr>
            <w:r>
              <w:rPr>
                <w:rFonts w:hint="eastAsia" w:asciiTheme="minorEastAsia" w:hAnsiTheme="minorEastAsia" w:eastAsiaTheme="minorEastAsia"/>
                <w:szCs w:val="21"/>
              </w:rPr>
              <w:t>要求覆盖省市区媒体10个，包括但不限于广州日报、南方都市报、</w:t>
            </w:r>
            <w:r>
              <w:rPr>
                <w:rFonts w:hint="eastAsia" w:asciiTheme="minorEastAsia" w:hAnsiTheme="minorEastAsia" w:eastAsiaTheme="minorEastAsia"/>
                <w:szCs w:val="21"/>
                <w:lang w:val="zh-TW"/>
              </w:rPr>
              <w:t>羊城晚报、南方日报、信息时报、今日花都报、</w:t>
            </w:r>
            <w:r>
              <w:rPr>
                <w:rFonts w:hint="eastAsia" w:asciiTheme="minorEastAsia" w:hAnsiTheme="minorEastAsia" w:eastAsiaTheme="minorEastAsia"/>
                <w:szCs w:val="21"/>
              </w:rPr>
              <w:t>花都电台、广州电台。</w:t>
            </w:r>
          </w:p>
        </w:tc>
      </w:tr>
    </w:tbl>
    <w:p>
      <w:pPr>
        <w:spacing w:line="360" w:lineRule="auto"/>
        <w:ind w:firstLine="602" w:firstLineChars="200"/>
        <w:rPr>
          <w:rFonts w:ascii="仿宋_GB2312" w:hAnsi="宋体" w:eastAsia="仿宋_GB2312" w:cs="仿宋_GB2312"/>
          <w:sz w:val="30"/>
          <w:szCs w:val="30"/>
        </w:rPr>
      </w:pPr>
      <w:r>
        <w:rPr>
          <w:rFonts w:hint="eastAsia" w:ascii="仿宋_GB2312" w:hAnsi="宋体" w:eastAsia="仿宋_GB2312" w:cs="仿宋_GB2312"/>
          <w:b/>
          <w:sz w:val="30"/>
          <w:szCs w:val="30"/>
        </w:rPr>
        <w:t>（四）验收要求：</w:t>
      </w:r>
      <w:r>
        <w:rPr>
          <w:rFonts w:hint="eastAsia" w:ascii="仿宋_GB2312" w:hAnsi="宋体" w:eastAsia="仿宋_GB2312" w:cs="仿宋_GB2312"/>
          <w:sz w:val="30"/>
          <w:szCs w:val="30"/>
        </w:rPr>
        <w:t>采购人按每次确认的活动方案进行验收。中标人每次按采购人需求出具执行计划和方案，并提交采购人审核通过后，按方案要求执行完工。</w:t>
      </w:r>
    </w:p>
    <w:p>
      <w:pPr>
        <w:spacing w:line="360" w:lineRule="auto"/>
        <w:ind w:firstLine="596" w:firstLineChars="198"/>
        <w:rPr>
          <w:rFonts w:ascii="仿宋_GB2312" w:hAnsi="宋体" w:eastAsia="仿宋_GB2312" w:cs="宋体"/>
          <w:sz w:val="30"/>
          <w:szCs w:val="30"/>
        </w:rPr>
      </w:pPr>
      <w:r>
        <w:rPr>
          <w:rFonts w:hint="eastAsia" w:ascii="仿宋_GB2312" w:hAnsi="宋体" w:eastAsia="仿宋_GB2312" w:cs="宋体"/>
          <w:b/>
          <w:sz w:val="30"/>
          <w:szCs w:val="30"/>
        </w:rPr>
        <w:t>四、服务周期</w:t>
      </w:r>
    </w:p>
    <w:p>
      <w:pPr>
        <w:spacing w:line="360" w:lineRule="auto"/>
        <w:ind w:firstLine="600" w:firstLineChars="200"/>
        <w:rPr>
          <w:rFonts w:ascii="仿宋_GB2312" w:hAnsi="宋体" w:eastAsia="仿宋_GB2312" w:cs="仿宋_GB2312"/>
          <w:sz w:val="30"/>
          <w:szCs w:val="30"/>
        </w:rPr>
      </w:pPr>
      <w:r>
        <w:rPr>
          <w:rFonts w:hint="eastAsia" w:ascii="仿宋_GB2312" w:hAnsi="宋体" w:eastAsia="仿宋_GB2312"/>
          <w:sz w:val="30"/>
          <w:szCs w:val="30"/>
        </w:rPr>
        <w:t>自合同签订之日起至2021年12月30日</w:t>
      </w:r>
      <w:r>
        <w:rPr>
          <w:rFonts w:hint="eastAsia" w:ascii="仿宋_GB2312" w:hAnsi="宋体" w:eastAsia="仿宋_GB2312" w:cs="仿宋_GB2312"/>
          <w:sz w:val="30"/>
          <w:szCs w:val="30"/>
        </w:rPr>
        <w:t>。合同签订后，中标人即开展相应工作，开展活动方案、宣传方案等策划工作。中标人须于10个工作日内提交项目初稿，根据采购人所提意见，中标人须于5个工作日内完成修改并提交采购人。</w:t>
      </w:r>
    </w:p>
    <w:p>
      <w:pPr>
        <w:spacing w:line="360" w:lineRule="auto"/>
        <w:ind w:firstLine="596" w:firstLineChars="198"/>
        <w:rPr>
          <w:rFonts w:ascii="仿宋_GB2312" w:hAnsi="宋体" w:eastAsia="仿宋_GB2312" w:cs="宋体"/>
          <w:b/>
          <w:sz w:val="30"/>
          <w:szCs w:val="30"/>
        </w:rPr>
      </w:pPr>
      <w:r>
        <w:rPr>
          <w:rFonts w:hint="eastAsia" w:ascii="仿宋_GB2312" w:hAnsi="宋体" w:eastAsia="仿宋_GB2312" w:cs="宋体"/>
          <w:b/>
          <w:sz w:val="30"/>
          <w:szCs w:val="30"/>
        </w:rPr>
        <w:t>五、付款方式</w:t>
      </w:r>
    </w:p>
    <w:p>
      <w:pPr>
        <w:spacing w:line="360" w:lineRule="auto"/>
        <w:ind w:firstLine="600" w:firstLineChars="200"/>
        <w:rPr>
          <w:rFonts w:ascii="仿宋_GB2312" w:hAnsi="宋体" w:eastAsia="仿宋_GB2312" w:cs="宋体"/>
          <w:sz w:val="30"/>
          <w:szCs w:val="30"/>
        </w:rPr>
      </w:pPr>
      <w:r>
        <w:rPr>
          <w:rFonts w:hint="eastAsia" w:ascii="仿宋_GB2312" w:hAnsi="宋体" w:eastAsia="仿宋_GB2312" w:cs="宋体"/>
          <w:sz w:val="30"/>
          <w:szCs w:val="30"/>
        </w:rPr>
        <w:t>由采购人按下列程序付款：</w:t>
      </w:r>
    </w:p>
    <w:p>
      <w:pPr>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1.合同款分三期支付。在合同正式签定后，采购人于15个工作日内向中标人支付合同金额的30%；</w:t>
      </w:r>
    </w:p>
    <w:p>
      <w:pPr>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2.其余项目款按照各次活动的开展进度，经采购人验收合格后进行支付，2021年10月30日之前支付合同金额的50%；</w:t>
      </w:r>
    </w:p>
    <w:p>
      <w:pPr>
        <w:spacing w:line="360" w:lineRule="auto"/>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3.剩余合同金额的20%的项目款项于项目结束验收合格后进行支付</w:t>
      </w:r>
      <w:r>
        <w:rPr>
          <w:rFonts w:hint="eastAsia" w:ascii="仿宋_GB2312" w:eastAsia="仿宋_GB2312"/>
          <w:sz w:val="30"/>
          <w:szCs w:val="30"/>
        </w:rPr>
        <w:t>。</w:t>
      </w:r>
    </w:p>
    <w:p>
      <w:pPr>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4.中标人凭以下有效文件与采购人结算：</w:t>
      </w:r>
    </w:p>
    <w:p>
      <w:pPr>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（1）合同；</w:t>
      </w:r>
    </w:p>
    <w:p>
      <w:pPr>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（2）中标人开具的正式发票；</w:t>
      </w:r>
    </w:p>
    <w:p>
      <w:pPr>
        <w:pStyle w:val="11"/>
        <w:numPr>
          <w:ilvl w:val="0"/>
          <w:numId w:val="0"/>
        </w:numPr>
        <w:spacing w:line="360" w:lineRule="auto"/>
        <w:ind w:left="600" w:leftChars="0"/>
        <w:rPr>
          <w:rFonts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val="en-US" w:eastAsia="zh-CN"/>
        </w:rPr>
        <w:t>3</w:t>
      </w:r>
      <w:r>
        <w:rPr>
          <w:rFonts w:hint="eastAsia" w:ascii="仿宋_GB2312" w:hAnsi="宋体" w:eastAsia="仿宋_GB2312"/>
          <w:sz w:val="30"/>
          <w:szCs w:val="30"/>
        </w:rPr>
        <w:t>）验收/成果报告（加盖采购人公章）；</w:t>
      </w:r>
    </w:p>
    <w:p>
      <w:pPr>
        <w:pStyle w:val="11"/>
        <w:numPr>
          <w:ilvl w:val="0"/>
          <w:numId w:val="0"/>
        </w:numPr>
        <w:spacing w:line="360" w:lineRule="auto"/>
        <w:ind w:left="600" w:leftChars="0"/>
        <w:rPr>
          <w:rFonts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val="en-US" w:eastAsia="zh-CN"/>
        </w:rPr>
        <w:t>4</w:t>
      </w:r>
      <w:r>
        <w:rPr>
          <w:rFonts w:hint="eastAsia" w:ascii="仿宋_GB2312" w:hAnsi="宋体" w:eastAsia="仿宋_GB2312"/>
          <w:sz w:val="30"/>
          <w:szCs w:val="30"/>
        </w:rPr>
        <w:t>）中标通知书。</w:t>
      </w:r>
    </w:p>
    <w:p>
      <w:pPr>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5.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6981"/>
    <w:multiLevelType w:val="multilevel"/>
    <w:tmpl w:val="05996981"/>
    <w:lvl w:ilvl="0" w:tentative="0">
      <w:start w:val="1"/>
      <w:numFmt w:val="decimal"/>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6244ED5"/>
    <w:multiLevelType w:val="multilevel"/>
    <w:tmpl w:val="36244ED5"/>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2441920"/>
    <w:rsid w:val="000621D1"/>
    <w:rsid w:val="000E4E7E"/>
    <w:rsid w:val="0010177B"/>
    <w:rsid w:val="001033EE"/>
    <w:rsid w:val="00137B4E"/>
    <w:rsid w:val="0014055B"/>
    <w:rsid w:val="00160E2F"/>
    <w:rsid w:val="001853D0"/>
    <w:rsid w:val="001D2D62"/>
    <w:rsid w:val="00205CA0"/>
    <w:rsid w:val="00265248"/>
    <w:rsid w:val="0029328C"/>
    <w:rsid w:val="00297DE1"/>
    <w:rsid w:val="003B2E65"/>
    <w:rsid w:val="00410AED"/>
    <w:rsid w:val="00410FB7"/>
    <w:rsid w:val="00434AEB"/>
    <w:rsid w:val="0049467F"/>
    <w:rsid w:val="004A4F51"/>
    <w:rsid w:val="004B2D41"/>
    <w:rsid w:val="004C4408"/>
    <w:rsid w:val="004F0FC6"/>
    <w:rsid w:val="00520E73"/>
    <w:rsid w:val="005C69EB"/>
    <w:rsid w:val="005E7CC7"/>
    <w:rsid w:val="00633496"/>
    <w:rsid w:val="00656B02"/>
    <w:rsid w:val="006E08C9"/>
    <w:rsid w:val="0073455F"/>
    <w:rsid w:val="007D5A21"/>
    <w:rsid w:val="00811D20"/>
    <w:rsid w:val="008C7660"/>
    <w:rsid w:val="008F1775"/>
    <w:rsid w:val="00996F16"/>
    <w:rsid w:val="009C6F87"/>
    <w:rsid w:val="00A177AC"/>
    <w:rsid w:val="00A91F6F"/>
    <w:rsid w:val="00AA0085"/>
    <w:rsid w:val="00AA1F72"/>
    <w:rsid w:val="00AA40E8"/>
    <w:rsid w:val="00AA41A6"/>
    <w:rsid w:val="00AD19D2"/>
    <w:rsid w:val="00AE46D8"/>
    <w:rsid w:val="00AF5A6C"/>
    <w:rsid w:val="00B1027A"/>
    <w:rsid w:val="00B54E13"/>
    <w:rsid w:val="00BA4425"/>
    <w:rsid w:val="00BC3425"/>
    <w:rsid w:val="00BD32F9"/>
    <w:rsid w:val="00C23EF4"/>
    <w:rsid w:val="00C8484C"/>
    <w:rsid w:val="00D11992"/>
    <w:rsid w:val="00D758FF"/>
    <w:rsid w:val="00D807B8"/>
    <w:rsid w:val="00DC6100"/>
    <w:rsid w:val="00E47D78"/>
    <w:rsid w:val="00E57DCB"/>
    <w:rsid w:val="00E6104D"/>
    <w:rsid w:val="00E944A4"/>
    <w:rsid w:val="00EA3AF2"/>
    <w:rsid w:val="00F25F7B"/>
    <w:rsid w:val="00F5342B"/>
    <w:rsid w:val="00F57270"/>
    <w:rsid w:val="00FA7B22"/>
    <w:rsid w:val="00FC3175"/>
    <w:rsid w:val="00FF5C4F"/>
    <w:rsid w:val="03D90065"/>
    <w:rsid w:val="04404C2D"/>
    <w:rsid w:val="0F3A69A2"/>
    <w:rsid w:val="21454FD0"/>
    <w:rsid w:val="23F35D91"/>
    <w:rsid w:val="26315618"/>
    <w:rsid w:val="2E5754A2"/>
    <w:rsid w:val="2E85067E"/>
    <w:rsid w:val="374A7AE6"/>
    <w:rsid w:val="3EAE6E85"/>
    <w:rsid w:val="41736D74"/>
    <w:rsid w:val="423021EE"/>
    <w:rsid w:val="48130E86"/>
    <w:rsid w:val="570A77C7"/>
    <w:rsid w:val="615053A3"/>
    <w:rsid w:val="62441920"/>
    <w:rsid w:val="62D51824"/>
    <w:rsid w:val="64C12F5D"/>
    <w:rsid w:val="66045051"/>
    <w:rsid w:val="6C753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Plain Text"/>
    <w:basedOn w:val="1"/>
    <w:next w:val="1"/>
    <w:qFormat/>
    <w:uiPriority w:val="0"/>
    <w:pPr>
      <w:autoSpaceDE w:val="0"/>
      <w:autoSpaceDN w:val="0"/>
      <w:adjustRightInd w:val="0"/>
      <w:jc w:val="left"/>
    </w:pPr>
    <w:rPr>
      <w:rFonts w:ascii="宋体" w:hAnsi="Courier New"/>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Calibri" w:hAnsi="Calibri"/>
      <w:kern w:val="0"/>
      <w:sz w:val="24"/>
      <w:szCs w:val="24"/>
    </w:rPr>
  </w:style>
  <w:style w:type="table" w:styleId="8">
    <w:name w:val="Table Grid"/>
    <w:basedOn w:val="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qFormat/>
    <w:uiPriority w:val="0"/>
    <w:rPr>
      <w:sz w:val="21"/>
      <w:szCs w:val="21"/>
    </w:rPr>
  </w:style>
  <w:style w:type="paragraph" w:styleId="11">
    <w:name w:val="List Paragraph"/>
    <w:basedOn w:val="1"/>
    <w:qFormat/>
    <w:uiPriority w:val="34"/>
    <w:pPr>
      <w:ind w:firstLine="420" w:firstLineChars="200"/>
    </w:pPr>
  </w:style>
  <w:style w:type="paragraph" w:customStyle="1" w:styleId="1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13">
    <w:name w:val="页眉 Char"/>
    <w:basedOn w:val="9"/>
    <w:link w:val="5"/>
    <w:qFormat/>
    <w:uiPriority w:val="0"/>
    <w:rPr>
      <w:rFonts w:ascii="Times New Roman" w:hAnsi="Times New Roman"/>
      <w:kern w:val="2"/>
      <w:sz w:val="18"/>
      <w:szCs w:val="18"/>
    </w:rPr>
  </w:style>
  <w:style w:type="character" w:customStyle="1" w:styleId="14">
    <w:name w:val="页脚 Char"/>
    <w:basedOn w:val="9"/>
    <w:link w:val="4"/>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区文化广电新闻出版局</Company>
  <Pages>10</Pages>
  <Words>833</Words>
  <Characters>4752</Characters>
  <Lines>39</Lines>
  <Paragraphs>11</Paragraphs>
  <TotalTime>3</TotalTime>
  <ScaleCrop>false</ScaleCrop>
  <LinksUpToDate>false</LinksUpToDate>
  <CharactersWithSpaces>5574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2021-03-10T06:50:00Z</dcterms:created>
  <dc:creator>ADMIN</dc:creator>
  <cp:lastModifiedBy>lwx</cp:lastModifiedBy>
  <cp:lastPrinted>2021-04-06T02:21:00Z</cp:lastPrinted>
  <dcterms:modified xsi:type="dcterms:W3CDTF">2021-04-06T02:49:49Z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