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lang w:eastAsia="zh-CN"/>
        </w:rPr>
        <w:t>花山镇</w:t>
      </w:r>
      <w:r>
        <w:rPr>
          <w:rFonts w:hint="eastAsia" w:ascii="华文中宋" w:hAnsi="华文中宋" w:eastAsia="华文中宋"/>
          <w:spacing w:val="20"/>
          <w:sz w:val="72"/>
          <w:szCs w:val="72"/>
        </w:rPr>
        <w:t>基层政务公开标准目录</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华文中宋" w:eastAsia="华文中宋"/>
          <w:sz w:val="48"/>
          <w:szCs w:val="48"/>
          <w:lang w:val="en-US" w:eastAsia="zh-CN"/>
        </w:rPr>
        <w:t>10</w:t>
      </w:r>
      <w:r>
        <w:rPr>
          <w:rFonts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jc w:val="center"/>
        <w:rPr>
          <w:rFonts w:ascii="黑体" w:hAnsi="黑体" w:eastAsia="黑体"/>
          <w:b/>
          <w:bCs/>
          <w:sz w:val="44"/>
          <w:szCs w:val="44"/>
        </w:rPr>
      </w:pPr>
    </w:p>
    <w:p>
      <w:pPr>
        <w:rPr>
          <w:rFonts w:ascii="黑体" w:hAnsi="黑体" w:eastAsia="黑体"/>
          <w:b/>
          <w:bCs/>
          <w:sz w:val="44"/>
          <w:szCs w:val="44"/>
        </w:rPr>
      </w:pPr>
      <w:r>
        <w:rPr>
          <w:rFonts w:hint="eastAsia" w:ascii="黑体" w:hAnsi="黑体" w:eastAsia="黑体"/>
          <w:b/>
          <w:bCs/>
          <w:sz w:val="44"/>
          <w:szCs w:val="44"/>
        </w:rPr>
        <w:t xml:space="preserve">       </w:t>
      </w:r>
    </w:p>
    <w:p>
      <w:pPr>
        <w:jc w:val="center"/>
        <w:rPr>
          <w:rFonts w:ascii="黑体" w:hAnsi="黑体" w:eastAsia="黑体"/>
          <w:b/>
          <w:bCs/>
          <w:sz w:val="44"/>
          <w:szCs w:val="44"/>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pPr>
    </w:p>
    <w:p>
      <w:pPr>
        <w:spacing w:line="440" w:lineRule="exact"/>
        <w:ind w:firstLine="4176" w:firstLineChars="1300"/>
        <w:rPr>
          <w:rFonts w:ascii="黑体" w:hAnsi="黑体" w:eastAsia="黑体" w:cs="黑体"/>
          <w:b/>
          <w:bCs/>
          <w:sz w:val="32"/>
          <w:szCs w:val="32"/>
        </w:rPr>
        <w:sectPr>
          <w:headerReference r:id="rId3" w:type="default"/>
          <w:pgSz w:w="16838" w:h="11906" w:orient="landscape"/>
          <w:pgMar w:top="1304" w:right="1304" w:bottom="1304" w:left="1304" w:header="851" w:footer="992" w:gutter="0"/>
          <w:pgNumType w:start="1"/>
          <w:cols w:space="0" w:num="1"/>
          <w:docGrid w:type="lines" w:linePitch="312" w:charSpace="0"/>
        </w:sectPr>
      </w:pPr>
    </w:p>
    <w:p>
      <w:pPr>
        <w:pStyle w:val="5"/>
        <w:rPr>
          <w:rFonts w:ascii="黑体" w:hAnsi="方正小标宋_GBK" w:eastAsia="黑体"/>
          <w:sz w:val="30"/>
          <w:szCs w:val="30"/>
        </w:rPr>
      </w:pPr>
    </w:p>
    <w:p>
      <w:pPr>
        <w:pStyle w:val="5"/>
        <w:spacing w:line="240" w:lineRule="auto"/>
        <w:ind w:left="0" w:leftChars="0" w:right="0" w:rightChars="0" w:firstLine="300" w:firstLineChars="100"/>
        <w:rPr>
          <w:rFonts w:hint="eastAsia" w:ascii="黑体" w:hAnsi="黑体" w:eastAsia="黑体" w:cs="黑体"/>
          <w:sz w:val="30"/>
          <w:szCs w:val="30"/>
        </w:rPr>
      </w:pPr>
      <w:r>
        <w:rPr>
          <w:rFonts w:hint="eastAsia" w:ascii="黑体" w:hAnsi="黑体" w:eastAsia="黑体" w:cs="黑体"/>
          <w:sz w:val="30"/>
          <w:szCs w:val="30"/>
        </w:rPr>
        <w:fldChar w:fldCharType="begin"/>
      </w:r>
      <w:r>
        <w:rPr>
          <w:rStyle w:val="8"/>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"_Toc24724705"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（一）</w:t>
      </w:r>
      <w:r>
        <w:rPr>
          <w:rFonts w:hint="eastAsia" w:ascii="黑体" w:hAnsi="黑体" w:eastAsia="黑体" w:cs="黑体"/>
          <w:sz w:val="30"/>
          <w:szCs w:val="30"/>
        </w:rPr>
        <w:t>户籍管理领域基层政务公开标准目录</w:t>
      </w:r>
      <w:r>
        <w:rPr>
          <w:rFonts w:hint="eastAsia" w:ascii="黑体" w:hAnsi="黑体" w:eastAsia="黑体" w:cs="黑体"/>
          <w:sz w:val="30"/>
          <w:szCs w:val="30"/>
        </w:rPr>
        <w:tab/>
      </w:r>
      <w:r>
        <w:rPr>
          <w:rFonts w:hint="eastAsia" w:ascii="黑体" w:hAnsi="黑体" w:eastAsia="黑体" w:cs="黑体"/>
          <w:sz w:val="30"/>
          <w:szCs w:val="30"/>
        </w:rPr>
        <w:t>1</w:t>
      </w:r>
      <w:r>
        <w:rPr>
          <w:rFonts w:hint="eastAsia" w:ascii="黑体" w:hAnsi="黑体" w:eastAsia="黑体" w:cs="黑体"/>
          <w:sz w:val="30"/>
          <w:szCs w:val="30"/>
        </w:rPr>
        <w:fldChar w:fldCharType="end"/>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"_Toc24724708" </w:instrText>
      </w:r>
      <w:r>
        <w:rPr>
          <w:rFonts w:hint="eastAsia" w:ascii="黑体" w:hAnsi="黑体" w:eastAsia="黑体" w:cs="黑体"/>
          <w:sz w:val="30"/>
          <w:szCs w:val="30"/>
        </w:rPr>
        <w:fldChar w:fldCharType="separate"/>
      </w:r>
      <w:r>
        <w:rPr>
          <w:rFonts w:hint="eastAsia" w:ascii="黑体" w:hAnsi="黑体" w:eastAsia="黑体" w:cs="黑体"/>
          <w:sz w:val="30"/>
          <w:szCs w:val="30"/>
        </w:rPr>
        <w:t>（</w:t>
      </w:r>
      <w:r>
        <w:rPr>
          <w:rFonts w:hint="eastAsia" w:ascii="黑体" w:hAnsi="黑体" w:eastAsia="黑体" w:cs="黑体"/>
          <w:sz w:val="30"/>
          <w:szCs w:val="30"/>
          <w:lang w:eastAsia="zh-CN"/>
        </w:rPr>
        <w:t>二</w:t>
      </w:r>
      <w:r>
        <w:rPr>
          <w:rFonts w:hint="eastAsia" w:ascii="黑体" w:hAnsi="黑体" w:eastAsia="黑体" w:cs="黑体"/>
          <w:sz w:val="30"/>
          <w:szCs w:val="30"/>
        </w:rPr>
        <w:t>）社会救助领域基层政务公开标准目录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4</w:t>
      </w:r>
      <w:r>
        <w:rPr>
          <w:rFonts w:hint="eastAsia" w:ascii="黑体" w:hAnsi="黑体" w:eastAsia="黑体" w:cs="黑体"/>
          <w:sz w:val="30"/>
          <w:szCs w:val="30"/>
        </w:rPr>
        <w:fldChar w:fldCharType="end"/>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"_Toc24724709"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三</w:t>
      </w:r>
      <w:r>
        <w:rPr>
          <w:rStyle w:val="8"/>
          <w:rFonts w:hint="eastAsia" w:ascii="黑体" w:hAnsi="黑体" w:eastAsia="黑体" w:cs="黑体"/>
          <w:sz w:val="30"/>
          <w:szCs w:val="30"/>
        </w:rPr>
        <w:t>）养老服务领域基层政务公开标准目录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 xml:space="preserve"> 7</w:t>
      </w:r>
      <w:r>
        <w:rPr>
          <w:rFonts w:hint="eastAsia" w:ascii="黑体" w:hAnsi="黑体" w:eastAsia="黑体" w:cs="黑体"/>
          <w:sz w:val="30"/>
          <w:szCs w:val="30"/>
        </w:rPr>
        <w:fldChar w:fldCharType="end"/>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"_Toc24724712"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四</w:t>
      </w:r>
      <w:r>
        <w:rPr>
          <w:rStyle w:val="8"/>
          <w:rFonts w:hint="eastAsia" w:ascii="黑体" w:hAnsi="黑体" w:eastAsia="黑体" w:cs="黑体"/>
          <w:sz w:val="30"/>
          <w:szCs w:val="30"/>
        </w:rPr>
        <w:t>）就业领域基层政务公开标准目录</w:t>
      </w:r>
      <w:r>
        <w:rPr>
          <w:rFonts w:hint="eastAsia" w:ascii="黑体" w:hAnsi="黑体" w:eastAsia="黑体" w:cs="黑体"/>
          <w:sz w:val="30"/>
          <w:szCs w:val="30"/>
        </w:rPr>
        <w:tab/>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8</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"_Toc24724713"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五</w:t>
      </w:r>
      <w:r>
        <w:rPr>
          <w:rStyle w:val="8"/>
          <w:rFonts w:hint="eastAsia" w:ascii="黑体" w:hAnsi="黑体" w:eastAsia="黑体" w:cs="黑体"/>
          <w:sz w:val="30"/>
          <w:szCs w:val="30"/>
        </w:rPr>
        <w:t>）社会保险领域基层政务公开标准目录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1</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1</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"_Toc24724717" </w:instrText>
      </w:r>
      <w:r>
        <w:rPr>
          <w:rFonts w:hint="eastAsia" w:ascii="黑体" w:hAnsi="黑体" w:eastAsia="黑体" w:cs="黑体"/>
          <w:sz w:val="30"/>
          <w:szCs w:val="30"/>
        </w:rPr>
        <w:fldChar w:fldCharType="separate"/>
      </w:r>
      <w:r>
        <w:rPr>
          <w:rStyle w:val="8"/>
          <w:rFonts w:hint="eastAsia" w:ascii="黑体" w:hAnsi="黑体" w:eastAsia="黑体" w:cs="黑体"/>
          <w:sz w:val="30"/>
          <w:szCs w:val="30"/>
        </w:rPr>
        <w:t>（</w:t>
      </w:r>
      <w:r>
        <w:rPr>
          <w:rStyle w:val="8"/>
          <w:rFonts w:hint="eastAsia" w:ascii="黑体" w:hAnsi="黑体" w:eastAsia="黑体" w:cs="黑体"/>
          <w:sz w:val="30"/>
          <w:szCs w:val="30"/>
          <w:lang w:eastAsia="zh-CN"/>
        </w:rPr>
        <w:t>六</w:t>
      </w:r>
      <w:r>
        <w:rPr>
          <w:rStyle w:val="8"/>
          <w:rFonts w:hint="eastAsia" w:ascii="黑体" w:hAnsi="黑体" w:eastAsia="黑体" w:cs="黑体"/>
          <w:sz w:val="30"/>
          <w:szCs w:val="30"/>
        </w:rPr>
        <w:t>）</w:t>
      </w:r>
      <w:r>
        <w:rPr>
          <w:rStyle w:val="8"/>
          <w:rFonts w:hint="eastAsia" w:ascii="黑体" w:hAnsi="黑体" w:eastAsia="黑体" w:cs="黑体"/>
          <w:color w:val="auto"/>
          <w:sz w:val="30"/>
          <w:szCs w:val="30"/>
        </w:rPr>
        <w:t>农村集体土地征收基层政务公开标准目录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1</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6</w:t>
      </w:r>
    </w:p>
    <w:p>
      <w:pPr>
        <w:pStyle w:val="5"/>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"_Toc24724724" </w:instrText>
      </w:r>
      <w:r>
        <w:rPr>
          <w:rFonts w:hint="eastAsia" w:ascii="黑体" w:hAnsi="黑体" w:eastAsia="黑体" w:cs="黑体"/>
          <w:sz w:val="30"/>
          <w:szCs w:val="30"/>
        </w:rPr>
        <w:fldChar w:fldCharType="separate"/>
      </w:r>
      <w:r>
        <w:rPr>
          <w:rStyle w:val="8"/>
          <w:rFonts w:hint="eastAsia" w:ascii="黑体" w:hAnsi="黑体" w:eastAsia="黑体" w:cs="黑体"/>
          <w:color w:val="auto"/>
          <w:sz w:val="30"/>
          <w:szCs w:val="30"/>
        </w:rPr>
        <w:t>（</w:t>
      </w:r>
      <w:r>
        <w:rPr>
          <w:rStyle w:val="8"/>
          <w:rFonts w:hint="eastAsia" w:ascii="黑体" w:hAnsi="黑体" w:eastAsia="黑体" w:cs="黑体"/>
          <w:color w:val="auto"/>
          <w:sz w:val="30"/>
          <w:szCs w:val="30"/>
          <w:lang w:eastAsia="zh-CN"/>
        </w:rPr>
        <w:t>七</w:t>
      </w:r>
      <w:r>
        <w:rPr>
          <w:rStyle w:val="8"/>
          <w:rFonts w:hint="eastAsia" w:ascii="黑体" w:hAnsi="黑体" w:eastAsia="黑体" w:cs="黑体"/>
          <w:color w:val="auto"/>
          <w:sz w:val="30"/>
          <w:szCs w:val="30"/>
        </w:rPr>
        <w:t>）保障性住房领域基层政务公开标准目录</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r>
        <w:rPr>
          <w:rFonts w:hint="eastAsia" w:ascii="黑体" w:hAnsi="黑体" w:eastAsia="黑体" w:cs="黑体"/>
          <w:sz w:val="30"/>
          <w:szCs w:val="30"/>
          <w:lang w:val="en-US" w:eastAsia="zh-CN"/>
        </w:rPr>
        <w:t>0</w:t>
      </w:r>
      <w:r>
        <w:rPr>
          <w:rFonts w:hint="eastAsia" w:ascii="黑体" w:hAnsi="黑体" w:eastAsia="黑体" w:cs="黑体"/>
          <w:sz w:val="30"/>
          <w:szCs w:val="30"/>
        </w:rPr>
        <w:t xml:space="preserve"> </w:t>
      </w:r>
    </w:p>
    <w:p>
      <w:pPr>
        <w:pStyle w:val="5"/>
        <w:rPr>
          <w:rFonts w:hint="eastAsia" w:ascii="黑体" w:hAnsi="黑体" w:eastAsia="黑体" w:cs="黑体"/>
          <w:sz w:val="30"/>
          <w:szCs w:val="30"/>
        </w:rPr>
      </w:pPr>
    </w:p>
    <w:p>
      <w:pPr>
        <w:jc w:val="left"/>
        <w:rPr>
          <w:rFonts w:hint="eastAsia" w:ascii="黑体" w:hAnsi="黑体" w:eastAsia="黑体" w:cs="黑体"/>
          <w:sz w:val="30"/>
          <w:szCs w:val="30"/>
        </w:rPr>
      </w:pPr>
      <w:r>
        <w:rPr>
          <w:rFonts w:hint="eastAsia" w:ascii="黑体" w:hAnsi="黑体" w:eastAsia="黑体" w:cs="黑体"/>
          <w:sz w:val="30"/>
          <w:szCs w:val="30"/>
        </w:rPr>
        <w:fldChar w:fldCharType="end"/>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28"/>
          <w:szCs w:val="28"/>
        </w:rPr>
      </w:pPr>
    </w:p>
    <w:p>
      <w:pPr>
        <w:pStyle w:val="2"/>
        <w:rPr>
          <w:rFonts w:ascii="仿宋" w:hAnsi="仿宋" w:eastAsia="仿宋" w:cs="仿宋"/>
          <w:sz w:val="32"/>
          <w:szCs w:val="32"/>
        </w:rPr>
        <w:sectPr>
          <w:footerReference r:id="rId4" w:type="default"/>
          <w:pgSz w:w="16838" w:h="11906" w:orient="landscape"/>
          <w:pgMar w:top="1304" w:right="1304" w:bottom="1304" w:left="1304" w:header="851" w:footer="992" w:gutter="0"/>
          <w:cols w:space="0" w:num="1"/>
          <w:docGrid w:type="lines" w:linePitch="312" w:charSpace="0"/>
        </w:sectPr>
      </w:pPr>
      <w:bookmarkStart w:id="0" w:name="_Toc24724707"/>
    </w:p>
    <w:p>
      <w:pPr>
        <w:pStyle w:val="2"/>
        <w:jc w:val="center"/>
        <w:rPr>
          <w:rFonts w:ascii="仿宋" w:hAnsi="仿宋" w:eastAsia="仿宋" w:cs="仿宋"/>
          <w:sz w:val="32"/>
          <w:szCs w:val="32"/>
        </w:rPr>
      </w:pPr>
      <w:r>
        <w:rPr>
          <w:rFonts w:hint="eastAsia" w:ascii="仿宋" w:hAnsi="仿宋" w:eastAsia="仿宋" w:cs="仿宋"/>
          <w:sz w:val="32"/>
          <w:szCs w:val="32"/>
        </w:rPr>
        <w:t>（一）户籍管理领域基层政务公开标准目录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序号</w:t>
            </w:r>
          </w:p>
        </w:tc>
        <w:tc>
          <w:tcPr>
            <w:tcW w:w="1800"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公开事项</w:t>
            </w:r>
          </w:p>
        </w:tc>
        <w:tc>
          <w:tcPr>
            <w:tcW w:w="2160" w:type="dxa"/>
            <w:vMerge w:val="restart"/>
            <w:vAlign w:val="center"/>
          </w:tcPr>
          <w:p>
            <w:pPr>
              <w:widowControl/>
              <w:spacing w:line="240" w:lineRule="atLeast"/>
              <w:rPr>
                <w:rFonts w:hint="eastAsia" w:ascii="黑体" w:hAnsi="黑体" w:eastAsia="黑体" w:cs="黑体"/>
                <w:color w:val="000000"/>
                <w:kern w:val="0"/>
                <w:sz w:val="22"/>
              </w:rPr>
            </w:pPr>
            <w:r>
              <w:rPr>
                <w:rFonts w:hint="eastAsia" w:ascii="黑体" w:hAnsi="黑体" w:eastAsia="黑体" w:cs="黑体"/>
                <w:color w:val="000000"/>
                <w:kern w:val="0"/>
                <w:sz w:val="22"/>
              </w:rPr>
              <w:t>公开内容（要素）</w:t>
            </w:r>
          </w:p>
        </w:tc>
        <w:tc>
          <w:tcPr>
            <w:tcW w:w="252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公开依据</w:t>
            </w:r>
          </w:p>
        </w:tc>
        <w:tc>
          <w:tcPr>
            <w:tcW w:w="162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公开时限</w:t>
            </w:r>
          </w:p>
        </w:tc>
        <w:tc>
          <w:tcPr>
            <w:tcW w:w="1080" w:type="dxa"/>
            <w:vMerge w:val="restart"/>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公开主体</w:t>
            </w:r>
          </w:p>
        </w:tc>
        <w:tc>
          <w:tcPr>
            <w:tcW w:w="1800" w:type="dxa"/>
            <w:vMerge w:val="restart"/>
            <w:vAlign w:val="center"/>
          </w:tcPr>
          <w:p>
            <w:pPr>
              <w:widowControl/>
              <w:spacing w:line="240" w:lineRule="atLeast"/>
              <w:jc w:val="center"/>
              <w:rPr>
                <w:rFonts w:hint="eastAsia" w:ascii="黑体" w:hAnsi="黑体" w:eastAsia="黑体" w:cs="黑体"/>
                <w:kern w:val="0"/>
                <w:sz w:val="22"/>
              </w:rPr>
            </w:pPr>
            <w:r>
              <w:rPr>
                <w:rFonts w:hint="eastAsia" w:ascii="黑体" w:hAnsi="黑体" w:eastAsia="黑体" w:cs="黑体"/>
                <w:kern w:val="0"/>
                <w:sz w:val="22"/>
              </w:rPr>
              <w:t>公开渠道和载体</w:t>
            </w:r>
          </w:p>
        </w:tc>
        <w:tc>
          <w:tcPr>
            <w:tcW w:w="1249"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公开对象</w:t>
            </w:r>
          </w:p>
        </w:tc>
        <w:tc>
          <w:tcPr>
            <w:tcW w:w="1271"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公开方式</w:t>
            </w:r>
          </w:p>
        </w:tc>
        <w:tc>
          <w:tcPr>
            <w:tcW w:w="1440" w:type="dxa"/>
            <w:gridSpan w:val="2"/>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90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一级事项</w:t>
            </w:r>
          </w:p>
        </w:tc>
        <w:tc>
          <w:tcPr>
            <w:tcW w:w="90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二级事项</w:t>
            </w:r>
          </w:p>
        </w:tc>
        <w:tc>
          <w:tcPr>
            <w:tcW w:w="2160" w:type="dxa"/>
            <w:vMerge w:val="continue"/>
            <w:vAlign w:val="center"/>
          </w:tcPr>
          <w:p>
            <w:pPr>
              <w:widowControl/>
              <w:spacing w:line="240" w:lineRule="atLeast"/>
              <w:rPr>
                <w:rFonts w:hint="eastAsia" w:ascii="黑体" w:hAnsi="黑体" w:eastAsia="黑体" w:cs="黑体"/>
                <w:color w:val="000000"/>
                <w:kern w:val="0"/>
                <w:sz w:val="22"/>
              </w:rPr>
            </w:pPr>
          </w:p>
        </w:tc>
        <w:tc>
          <w:tcPr>
            <w:tcW w:w="252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62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080" w:type="dxa"/>
            <w:vMerge w:val="continue"/>
            <w:vAlign w:val="center"/>
          </w:tcPr>
          <w:p>
            <w:pPr>
              <w:widowControl/>
              <w:spacing w:line="240" w:lineRule="atLeast"/>
              <w:jc w:val="left"/>
              <w:rPr>
                <w:rFonts w:hint="eastAsia" w:ascii="黑体" w:hAnsi="黑体" w:eastAsia="黑体" w:cs="黑体"/>
                <w:color w:val="000000"/>
                <w:kern w:val="0"/>
                <w:sz w:val="22"/>
              </w:rPr>
            </w:pPr>
          </w:p>
        </w:tc>
        <w:tc>
          <w:tcPr>
            <w:tcW w:w="1800" w:type="dxa"/>
            <w:vMerge w:val="continue"/>
            <w:vAlign w:val="center"/>
          </w:tcPr>
          <w:p>
            <w:pPr>
              <w:widowControl/>
              <w:spacing w:line="240" w:lineRule="atLeast"/>
              <w:jc w:val="left"/>
              <w:rPr>
                <w:rFonts w:hint="eastAsia" w:ascii="黑体" w:hAnsi="黑体" w:eastAsia="黑体" w:cs="黑体"/>
                <w:kern w:val="0"/>
                <w:sz w:val="22"/>
              </w:rPr>
            </w:pPr>
          </w:p>
        </w:tc>
        <w:tc>
          <w:tcPr>
            <w:tcW w:w="54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全社会</w:t>
            </w:r>
          </w:p>
        </w:tc>
        <w:tc>
          <w:tcPr>
            <w:tcW w:w="709"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特定群众</w:t>
            </w:r>
          </w:p>
        </w:tc>
        <w:tc>
          <w:tcPr>
            <w:tcW w:w="551"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主动</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依申请公开</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县级</w:t>
            </w:r>
          </w:p>
        </w:tc>
        <w:tc>
          <w:tcPr>
            <w:tcW w:w="720" w:type="dxa"/>
            <w:vAlign w:val="center"/>
          </w:tcPr>
          <w:p>
            <w:pPr>
              <w:widowControl/>
              <w:spacing w:line="240" w:lineRule="atLeast"/>
              <w:jc w:val="center"/>
              <w:rPr>
                <w:rFonts w:hint="eastAsia" w:ascii="黑体" w:hAnsi="黑体" w:eastAsia="黑体" w:cs="黑体"/>
                <w:color w:val="000000"/>
                <w:kern w:val="0"/>
                <w:sz w:val="22"/>
              </w:rPr>
            </w:pPr>
            <w:r>
              <w:rPr>
                <w:rFonts w:hint="eastAsia" w:ascii="黑体" w:hAnsi="黑体" w:eastAsia="黑体" w:cs="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900" w:type="dxa"/>
            <w:vMerge w:val="restart"/>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居</w:t>
            </w:r>
            <w:r>
              <w:rPr>
                <w:rFonts w:hint="eastAsia" w:ascii="仿宋_GB2312" w:hAnsi="仿宋_GB2312" w:eastAsia="仿宋_GB2312" w:cs="仿宋_GB2312"/>
                <w:color w:val="000000"/>
                <w:sz w:val="20"/>
                <w:szCs w:val="20"/>
              </w:rPr>
              <w:t>住登记及居住证管理</w:t>
            </w: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居</w:t>
            </w:r>
            <w:r>
              <w:rPr>
                <w:rFonts w:hint="eastAsia" w:ascii="仿宋_GB2312" w:hAnsi="仿宋_GB2312" w:eastAsia="仿宋_GB2312" w:cs="仿宋_GB2312"/>
                <w:color w:val="000000"/>
                <w:sz w:val="20"/>
                <w:szCs w:val="20"/>
              </w:rPr>
              <w:t>住登记</w:t>
            </w:r>
          </w:p>
        </w:tc>
        <w:tc>
          <w:tcPr>
            <w:tcW w:w="216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《居住证暂行条例》、</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sz w:val="20"/>
                <w:szCs w:val="20"/>
              </w:rPr>
              <w:t>、《</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auto"/>
                <w:sz w:val="20"/>
                <w:szCs w:val="20"/>
                <w:highlight w:val="none"/>
                <w:lang w:eastAsia="zh-CN"/>
              </w:rPr>
              <w:t>广州市花都区花山镇人民政府</w:t>
            </w:r>
          </w:p>
        </w:tc>
        <w:tc>
          <w:tcPr>
            <w:tcW w:w="1800" w:type="dxa"/>
            <w:vAlign w:val="center"/>
          </w:tcPr>
          <w:p>
            <w:pPr>
              <w:widowControl/>
              <w:spacing w:line="240" w:lineRule="atLeast"/>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■广州市花都区</w:t>
            </w:r>
            <w:r>
              <w:rPr>
                <w:rFonts w:hint="eastAsia" w:ascii="仿宋_GB2312" w:hAnsi="仿宋_GB2312" w:eastAsia="仿宋_GB2312" w:cs="仿宋_GB2312"/>
                <w:color w:val="000000"/>
                <w:sz w:val="20"/>
                <w:szCs w:val="20"/>
                <w:lang w:eastAsia="zh-CN"/>
              </w:rPr>
              <w:t>花山镇</w:t>
            </w:r>
            <w:r>
              <w:rPr>
                <w:rFonts w:hint="eastAsia" w:ascii="仿宋_GB2312" w:hAnsi="仿宋_GB2312" w:eastAsia="仿宋_GB2312" w:cs="仿宋_GB2312"/>
                <w:color w:val="000000"/>
                <w:sz w:val="20"/>
                <w:szCs w:val="20"/>
              </w:rPr>
              <w:t>来穗人员和出租屋服务管理中心</w:t>
            </w:r>
          </w:p>
        </w:tc>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vAlign w:val="center"/>
          </w:tcPr>
          <w:p>
            <w:pPr>
              <w:widowControl/>
              <w:spacing w:line="240" w:lineRule="atLeast"/>
              <w:rPr>
                <w:rFonts w:hint="eastAsia" w:ascii="仿宋_GB2312" w:hAnsi="仿宋_GB2312" w:eastAsia="仿宋_GB2312" w:cs="仿宋_GB2312"/>
                <w:color w:val="000000"/>
                <w:sz w:val="20"/>
                <w:szCs w:val="20"/>
              </w:rPr>
            </w:pP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900" w:type="dxa"/>
            <w:vMerge w:val="continue"/>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居住证申领</w:t>
            </w:r>
          </w:p>
        </w:tc>
        <w:tc>
          <w:tcPr>
            <w:tcW w:w="216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《居住证暂行条例》、</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bookmarkStart w:id="4" w:name="_GoBack"/>
            <w:bookmarkEnd w:id="4"/>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sz w:val="20"/>
                <w:szCs w:val="20"/>
              </w:rPr>
              <w:t>、《</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auto"/>
                <w:sz w:val="20"/>
                <w:szCs w:val="20"/>
                <w:highlight w:val="none"/>
                <w:lang w:eastAsia="zh-CN"/>
              </w:rPr>
              <w:t>广州市花都区花山镇人民政府</w:t>
            </w:r>
          </w:p>
        </w:tc>
        <w:tc>
          <w:tcPr>
            <w:tcW w:w="1800" w:type="dxa"/>
            <w:vAlign w:val="center"/>
          </w:tcPr>
          <w:p>
            <w:pPr>
              <w:widowControl/>
              <w:spacing w:line="240" w:lineRule="atLeast"/>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■广州市花都区</w:t>
            </w:r>
            <w:r>
              <w:rPr>
                <w:rFonts w:hint="eastAsia" w:ascii="仿宋_GB2312" w:hAnsi="仿宋_GB2312" w:eastAsia="仿宋_GB2312" w:cs="仿宋_GB2312"/>
                <w:color w:val="000000"/>
                <w:sz w:val="20"/>
                <w:szCs w:val="20"/>
                <w:lang w:eastAsia="zh-CN"/>
              </w:rPr>
              <w:t>花山镇</w:t>
            </w:r>
            <w:r>
              <w:rPr>
                <w:rFonts w:hint="eastAsia" w:ascii="仿宋_GB2312" w:hAnsi="仿宋_GB2312" w:eastAsia="仿宋_GB2312" w:cs="仿宋_GB2312"/>
                <w:color w:val="000000"/>
                <w:sz w:val="20"/>
                <w:szCs w:val="20"/>
              </w:rPr>
              <w:t>来穗人员和出租屋服务管理中心</w:t>
            </w:r>
          </w:p>
        </w:tc>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vAlign w:val="center"/>
          </w:tcPr>
          <w:p>
            <w:pPr>
              <w:widowControl/>
              <w:spacing w:line="240" w:lineRule="atLeast"/>
              <w:rPr>
                <w:rFonts w:hint="eastAsia" w:ascii="仿宋_GB2312" w:hAnsi="仿宋_GB2312" w:eastAsia="仿宋_GB2312" w:cs="仿宋_GB2312"/>
                <w:color w:val="000000"/>
                <w:sz w:val="20"/>
                <w:szCs w:val="20"/>
              </w:rPr>
            </w:pP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居</w:t>
            </w:r>
            <w:r>
              <w:rPr>
                <w:rFonts w:hint="eastAsia" w:ascii="仿宋_GB2312" w:hAnsi="仿宋_GB2312" w:eastAsia="仿宋_GB2312" w:cs="仿宋_GB2312"/>
                <w:color w:val="000000"/>
                <w:sz w:val="20"/>
                <w:szCs w:val="20"/>
              </w:rPr>
              <w:t>住登记及居住证管理</w:t>
            </w: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居住证换、补领</w:t>
            </w:r>
          </w:p>
        </w:tc>
        <w:tc>
          <w:tcPr>
            <w:tcW w:w="216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受理部门、办理条件、办理流程、所需材料、办理时限、收费依据及标准      </w:t>
            </w:r>
          </w:p>
        </w:tc>
        <w:tc>
          <w:tcPr>
            <w:tcW w:w="2520" w:type="dxa"/>
            <w:vAlign w:val="center"/>
          </w:tcPr>
          <w:p>
            <w:pPr>
              <w:pStyle w:val="2"/>
              <w:keepNext w:val="0"/>
              <w:keepLines w:val="0"/>
              <w:widowControl/>
              <w:spacing w:before="300" w:after="0" w:line="23" w:lineRule="atLeast"/>
              <w:jc w:val="left"/>
              <w:rPr>
                <w:rFonts w:hint="eastAsia" w:ascii="仿宋_GB2312" w:hAnsi="仿宋_GB2312" w:eastAsia="仿宋_GB2312" w:cs="仿宋_GB2312"/>
                <w:sz w:val="20"/>
                <w:szCs w:val="20"/>
              </w:rPr>
            </w:pPr>
            <w:r>
              <w:rPr>
                <w:rFonts w:hint="eastAsia" w:ascii="仿宋_GB2312" w:hAnsi="仿宋_GB2312" w:eastAsia="仿宋_GB2312" w:cs="仿宋_GB2312"/>
                <w:b w:val="0"/>
                <w:bCs w:val="0"/>
                <w:sz w:val="20"/>
                <w:szCs w:val="20"/>
              </w:rPr>
              <w:t>《居住证暂行条例》、</w:t>
            </w:r>
            <w:r>
              <w:rPr>
                <w:rFonts w:hint="eastAsia" w:ascii="仿宋_GB2312" w:hAnsi="仿宋_GB2312" w:eastAsia="仿宋_GB2312" w:cs="仿宋_GB2312"/>
                <w:b w:val="0"/>
                <w:bCs w:val="0"/>
                <w:color w:val="000000"/>
                <w:sz w:val="20"/>
                <w:szCs w:val="20"/>
              </w:rPr>
              <w:t>《</w:t>
            </w:r>
            <w:r>
              <w:rPr>
                <w:rFonts w:hint="eastAsia" w:ascii="仿宋_GB2312" w:hAnsi="仿宋_GB2312" w:eastAsia="仿宋_GB2312" w:cs="仿宋_GB2312"/>
                <w:b w:val="0"/>
                <w:bCs w:val="0"/>
                <w:color w:val="000000"/>
                <w:sz w:val="20"/>
                <w:szCs w:val="20"/>
                <w:lang w:eastAsia="zh-CN"/>
              </w:rPr>
              <w:t>中华人民共和国</w:t>
            </w:r>
            <w:r>
              <w:rPr>
                <w:rFonts w:hint="eastAsia" w:ascii="仿宋_GB2312" w:hAnsi="仿宋_GB2312" w:eastAsia="仿宋_GB2312" w:cs="仿宋_GB2312"/>
                <w:b w:val="0"/>
                <w:bCs w:val="0"/>
                <w:color w:val="000000"/>
                <w:sz w:val="20"/>
                <w:szCs w:val="20"/>
                <w:lang w:val="en-US" w:eastAsia="zh-CN"/>
              </w:rPr>
              <w:t>政府</w:t>
            </w:r>
            <w:r>
              <w:rPr>
                <w:rFonts w:hint="eastAsia" w:ascii="仿宋_GB2312" w:hAnsi="仿宋_GB2312" w:eastAsia="仿宋_GB2312" w:cs="仿宋_GB2312"/>
                <w:b w:val="0"/>
                <w:bCs w:val="0"/>
                <w:color w:val="000000"/>
                <w:sz w:val="20"/>
                <w:szCs w:val="20"/>
              </w:rPr>
              <w:t>信息公开条例》</w:t>
            </w:r>
            <w:r>
              <w:rPr>
                <w:rFonts w:hint="eastAsia" w:ascii="仿宋_GB2312" w:hAnsi="仿宋_GB2312" w:eastAsia="仿宋_GB2312" w:cs="仿宋_GB2312"/>
                <w:b w:val="0"/>
                <w:bCs w:val="0"/>
                <w:sz w:val="20"/>
                <w:szCs w:val="20"/>
              </w:rPr>
              <w:t>、《</w:t>
            </w:r>
            <w:r>
              <w:rPr>
                <w:rStyle w:val="12"/>
                <w:rFonts w:hint="eastAsia" w:ascii="仿宋_GB2312" w:hAnsi="仿宋_GB2312" w:eastAsia="仿宋_GB2312" w:cs="仿宋_GB2312"/>
                <w:b w:val="0"/>
                <w:bCs w:val="0"/>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auto"/>
                <w:sz w:val="20"/>
                <w:szCs w:val="20"/>
                <w:highlight w:val="none"/>
                <w:lang w:eastAsia="zh-CN"/>
              </w:rPr>
              <w:t>广州市花都区花山镇人民政府</w:t>
            </w:r>
          </w:p>
        </w:tc>
        <w:tc>
          <w:tcPr>
            <w:tcW w:w="1800" w:type="dxa"/>
            <w:vAlign w:val="center"/>
          </w:tcPr>
          <w:p>
            <w:pPr>
              <w:widowControl/>
              <w:spacing w:line="240" w:lineRule="atLeast"/>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■广州市花都区</w:t>
            </w:r>
            <w:r>
              <w:rPr>
                <w:rFonts w:hint="eastAsia" w:ascii="仿宋_GB2312" w:hAnsi="仿宋_GB2312" w:eastAsia="仿宋_GB2312" w:cs="仿宋_GB2312"/>
                <w:color w:val="000000"/>
                <w:sz w:val="20"/>
                <w:szCs w:val="20"/>
                <w:lang w:eastAsia="zh-CN"/>
              </w:rPr>
              <w:t>花山镇</w:t>
            </w:r>
            <w:r>
              <w:rPr>
                <w:rFonts w:hint="eastAsia" w:ascii="仿宋_GB2312" w:hAnsi="仿宋_GB2312" w:eastAsia="仿宋_GB2312" w:cs="仿宋_GB2312"/>
                <w:color w:val="000000"/>
                <w:sz w:val="20"/>
                <w:szCs w:val="20"/>
              </w:rPr>
              <w:t>来穗人员和出租屋服务管理中心</w:t>
            </w:r>
          </w:p>
        </w:tc>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vAlign w:val="center"/>
          </w:tcPr>
          <w:p>
            <w:pPr>
              <w:widowControl/>
              <w:spacing w:line="240" w:lineRule="atLeast"/>
              <w:rPr>
                <w:rFonts w:hint="eastAsia" w:ascii="仿宋_GB2312" w:hAnsi="仿宋_GB2312" w:eastAsia="仿宋_GB2312" w:cs="仿宋_GB2312"/>
                <w:color w:val="000000"/>
                <w:sz w:val="20"/>
                <w:szCs w:val="20"/>
              </w:rPr>
            </w:pP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居</w:t>
            </w:r>
            <w:r>
              <w:rPr>
                <w:rFonts w:hint="eastAsia" w:ascii="仿宋_GB2312" w:hAnsi="仿宋_GB2312" w:eastAsia="仿宋_GB2312" w:cs="仿宋_GB2312"/>
                <w:color w:val="000000"/>
                <w:sz w:val="20"/>
                <w:szCs w:val="20"/>
              </w:rPr>
              <w:t>住登记及居住证管理</w:t>
            </w:r>
          </w:p>
        </w:tc>
        <w:tc>
          <w:tcPr>
            <w:tcW w:w="90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居住证签注</w:t>
            </w:r>
          </w:p>
        </w:tc>
        <w:tc>
          <w:tcPr>
            <w:tcW w:w="216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受理部门、办理条件、办理流程、所需材料、办理时限、收费依据及标准      </w:t>
            </w:r>
          </w:p>
        </w:tc>
        <w:tc>
          <w:tcPr>
            <w:tcW w:w="2520" w:type="dxa"/>
            <w:vAlign w:val="center"/>
          </w:tcPr>
          <w:p>
            <w:pPr>
              <w:widowControl/>
              <w:spacing w:line="240" w:lineRule="atLeas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《居住证暂行条例》、</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sz w:val="20"/>
                <w:szCs w:val="20"/>
              </w:rPr>
              <w:t>、《</w:t>
            </w:r>
            <w:r>
              <w:rPr>
                <w:rStyle w:val="12"/>
                <w:rFonts w:hint="eastAsia" w:ascii="仿宋_GB2312" w:hAnsi="仿宋_GB2312" w:eastAsia="仿宋_GB2312" w:cs="仿宋_GB2312"/>
                <w:sz w:val="20"/>
                <w:szCs w:val="20"/>
                <w:shd w:val="clear" w:color="auto" w:fill="FFFFFF"/>
              </w:rPr>
              <w:t>广东省流动人口服务管理条例》、穗公规字【2019】2号《关于印发广州市流动人口居住登记和居住证办理指引（试行）的通知》、广公（治函）【2018】856号《关于方便缴纳社保或居住在自有（直系亲属）产权房屋流动人口办理居住证的函》等相关政策文件</w:t>
            </w:r>
          </w:p>
        </w:tc>
        <w:tc>
          <w:tcPr>
            <w:tcW w:w="1620" w:type="dxa"/>
            <w:vAlign w:val="center"/>
          </w:tcPr>
          <w:p>
            <w:pPr>
              <w:widowControl/>
              <w:spacing w:line="240" w:lineRule="atLeas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形成或者变更之日起20个工作日内予以公开</w:t>
            </w:r>
          </w:p>
        </w:tc>
        <w:tc>
          <w:tcPr>
            <w:tcW w:w="10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auto"/>
                <w:sz w:val="20"/>
                <w:szCs w:val="20"/>
                <w:highlight w:val="none"/>
                <w:lang w:eastAsia="zh-CN"/>
              </w:rPr>
              <w:t>广州市花都区花山镇人民政府</w:t>
            </w:r>
          </w:p>
        </w:tc>
        <w:tc>
          <w:tcPr>
            <w:tcW w:w="1800" w:type="dxa"/>
            <w:vAlign w:val="center"/>
          </w:tcPr>
          <w:p>
            <w:pPr>
              <w:widowControl/>
              <w:spacing w:line="240" w:lineRule="atLeast"/>
              <w:jc w:val="left"/>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■广州市花都区</w:t>
            </w:r>
            <w:r>
              <w:rPr>
                <w:rFonts w:hint="eastAsia" w:ascii="仿宋_GB2312" w:hAnsi="仿宋_GB2312" w:eastAsia="仿宋_GB2312" w:cs="仿宋_GB2312"/>
                <w:color w:val="000000"/>
                <w:sz w:val="20"/>
                <w:szCs w:val="20"/>
                <w:lang w:eastAsia="zh-CN"/>
              </w:rPr>
              <w:t>花山镇</w:t>
            </w:r>
            <w:r>
              <w:rPr>
                <w:rFonts w:hint="eastAsia" w:ascii="仿宋_GB2312" w:hAnsi="仿宋_GB2312" w:eastAsia="仿宋_GB2312" w:cs="仿宋_GB2312"/>
                <w:color w:val="000000"/>
                <w:sz w:val="20"/>
                <w:szCs w:val="20"/>
              </w:rPr>
              <w:t>来穗人员和出租屋服务管理中心</w:t>
            </w:r>
          </w:p>
        </w:tc>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vAlign w:val="center"/>
          </w:tcPr>
          <w:p>
            <w:pPr>
              <w:widowControl/>
              <w:spacing w:line="240" w:lineRule="atLeast"/>
              <w:rPr>
                <w:rFonts w:hint="eastAsia" w:ascii="仿宋_GB2312" w:hAnsi="仿宋_GB2312" w:eastAsia="仿宋_GB2312" w:cs="仿宋_GB2312"/>
                <w:color w:val="000000"/>
                <w:sz w:val="20"/>
                <w:szCs w:val="20"/>
              </w:rPr>
            </w:pP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bl>
    <w:p>
      <w:pPr>
        <w:pStyle w:val="2"/>
        <w:spacing w:line="400" w:lineRule="exact"/>
        <w:rPr>
          <w:rFonts w:ascii="仿宋" w:hAnsi="仿宋" w:eastAsia="仿宋"/>
          <w:kern w:val="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cs="仿宋"/>
          <w:b/>
          <w:sz w:val="32"/>
          <w:szCs w:val="32"/>
        </w:rPr>
      </w:pPr>
      <w:bookmarkStart w:id="1" w:name="_Toc24724713"/>
    </w:p>
    <w:p>
      <w:pPr>
        <w:rPr>
          <w:rFonts w:ascii="仿宋" w:hAnsi="仿宋" w:eastAsia="仿宋" w:cs="仿宋"/>
          <w:b/>
          <w:sz w:val="32"/>
          <w:szCs w:val="32"/>
        </w:rPr>
      </w:pPr>
    </w:p>
    <w:p>
      <w:pPr>
        <w:rPr>
          <w:rFonts w:ascii="仿宋" w:hAnsi="仿宋" w:eastAsia="仿宋" w:cs="仿宋"/>
          <w:b/>
          <w:sz w:val="32"/>
          <w:szCs w:val="32"/>
        </w:rPr>
      </w:pPr>
    </w:p>
    <w:p>
      <w:pPr>
        <w:rPr>
          <w:rFonts w:ascii="仿宋" w:hAnsi="仿宋" w:eastAsia="仿宋" w:cs="仿宋"/>
          <w:b/>
          <w:sz w:val="32"/>
          <w:szCs w:val="32"/>
        </w:rPr>
      </w:pPr>
    </w:p>
    <w:bookmarkEnd w:id="1"/>
    <w:p>
      <w:pPr>
        <w:pStyle w:val="2"/>
        <w:jc w:val="center"/>
        <w:rPr>
          <w:rFonts w:hint="eastAsia" w:ascii="仿宋" w:hAnsi="仿宋" w:eastAsia="仿宋" w:cs="仿宋"/>
          <w:sz w:val="32"/>
          <w:szCs w:val="32"/>
        </w:rPr>
      </w:pPr>
      <w:bookmarkStart w:id="2" w:name="_Toc24724715"/>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）社会救助领域基层政务公开标准目录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2"/>
                <w:szCs w:val="22"/>
                <w:highlight w:val="none"/>
              </w:rPr>
            </w:pPr>
            <w:r>
              <w:rPr>
                <w:rFonts w:ascii="Times New Roman" w:hAnsi="宋体" w:cs="Times New Roman"/>
                <w:color w:val="auto"/>
                <w:kern w:val="0"/>
                <w:sz w:val="22"/>
                <w:szCs w:val="22"/>
                <w:highlight w:val="none"/>
              </w:rPr>
              <w:t>序号</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公开事项</w:t>
            </w:r>
          </w:p>
        </w:tc>
        <w:tc>
          <w:tcPr>
            <w:tcW w:w="216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公开内容（要素）</w:t>
            </w:r>
          </w:p>
        </w:tc>
        <w:tc>
          <w:tcPr>
            <w:tcW w:w="252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公开依据</w:t>
            </w:r>
          </w:p>
        </w:tc>
        <w:tc>
          <w:tcPr>
            <w:tcW w:w="144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公开时限</w:t>
            </w:r>
          </w:p>
        </w:tc>
        <w:tc>
          <w:tcPr>
            <w:tcW w:w="162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公开主体</w:t>
            </w:r>
          </w:p>
        </w:tc>
        <w:tc>
          <w:tcPr>
            <w:tcW w:w="180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公开渠道和载体</w:t>
            </w:r>
          </w:p>
        </w:tc>
        <w:tc>
          <w:tcPr>
            <w:tcW w:w="1249" w:type="dxa"/>
            <w:gridSpan w:val="2"/>
            <w:tcBorders>
              <w:top w:val="single" w:color="auto" w:sz="4" w:space="0"/>
              <w:left w:val="nil"/>
              <w:bottom w:val="nil"/>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2"/>
                <w:szCs w:val="22"/>
                <w:highlight w:val="none"/>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一级事项</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二级事项</w:t>
            </w:r>
          </w:p>
        </w:tc>
        <w:tc>
          <w:tcPr>
            <w:tcW w:w="216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252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44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62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80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全社会</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特定群众</w:t>
            </w:r>
          </w:p>
        </w:tc>
        <w:tc>
          <w:tcPr>
            <w:tcW w:w="5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主动</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依申请公开</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县级</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综合业务</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政策</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法规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《社会救助暂行办法》                 </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上级配套政策法规文件</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监督</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检查</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社会救助信访通讯地址</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社会救助投诉举报电话</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最低生活保障</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政策</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法规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《国务院关于进一步加强和改进最低生活保障工作的意见》、《最低生活保障审核审批办法（试行）》、上级配套政策法规文件</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办理事项、办理条件、最低生活保障标准、申请材料、办理流程、办理时间、地点、联系方式</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最低生活保障</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审核</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初审对象名单、保障金发放、发给低保证及相关信息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低保对象名单、保障金发放、发给低保证及相关信息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低收入困难家庭救助申请</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审核</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初审对象名单及相关信息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低收对象名单及相关信息</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《国务院关于进一步加强和改进最低生活保障工作的意见》、上级相关政策法规文件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特困人员救助供养</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政策</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法规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健全特困人员救助供养制度的意见》、民政部关于印发《特困人员认定办法》的通知、民政部关于贯彻落实《国务院关于进一步健全特困人员救助供养制度的意见》的通知、上级配套政策法规文件</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办理事项、办理条件、救助供养标准、申请材料、办理流程、办理时间、地点、联系方式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《国务院关于进一步健全特困人员救助供养制度的意见》、上级相关政策法规文件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特困人员救助供养</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审核</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初审对象名单及相关信息、终止供养名单、特困供养资金发放</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《国务院关于进一步健全特困人员救助供养制度的意见》、各地相关政策法规文件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制定或获取信息之日起10个工作日内，公示7个工作日</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审批   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特困人员名单及相关信息、特困供养资金发放</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《国务院关于进一步健全特困人员救助供养制度的意见》、上级相关政策法规文件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临时救助</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政策</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法规</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文件</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《国务院关于全面建立临时救助制度的通知》、《民政部 财政部关于进一步加强和改进临时救助工作的意见》、上级配套政策法规文件</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w:t>
            </w:r>
          </w:p>
        </w:tc>
        <w:tc>
          <w:tcPr>
            <w:tcW w:w="720" w:type="dxa"/>
            <w:vMerge w:val="restart"/>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临时救助</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办事  指南</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办理事项、办理条件、救助标准、申请材料、办理流程、办理时间、地点、联系方式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《国务院关于全面建立临时救助制度的通知》、上级相关政策法规文件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720" w:type="dxa"/>
            <w:vMerge w:val="continue"/>
            <w:tcBorders>
              <w:top w:val="nil"/>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审核</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审批</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信息</w:t>
            </w:r>
          </w:p>
        </w:tc>
        <w:tc>
          <w:tcPr>
            <w:tcW w:w="21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支出型临时救助对象名单、救助金额、救助事由、临时救助金和物品发放 </w:t>
            </w:r>
          </w:p>
        </w:tc>
        <w:tc>
          <w:tcPr>
            <w:tcW w:w="25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《国务院关于全面建立临时救助制度的通知》、上级相关政策法规文件</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制定或获取信息之日起10个工作日内</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80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bl>
    <w:p>
      <w:pPr>
        <w:jc w:val="center"/>
        <w:rPr>
          <w:rFonts w:ascii="Times New Roman" w:hAnsi="Times New Roman" w:eastAsia="方正小标宋_GBK" w:cs="Times New Roman"/>
          <w:color w:val="auto"/>
          <w:sz w:val="28"/>
          <w:szCs w:val="28"/>
          <w:highlight w:val="none"/>
        </w:rPr>
      </w:pPr>
      <w:r>
        <w:rPr>
          <w:rFonts w:ascii="Times New Roman" w:hAnsi="Times New Roman" w:eastAsia="方正小标宋_GBK" w:cs="Times New Roman"/>
          <w:color w:val="auto"/>
          <w:sz w:val="28"/>
          <w:szCs w:val="28"/>
          <w:highlight w:val="none"/>
        </w:rPr>
        <w:t xml:space="preserve"> </w:t>
      </w:r>
    </w:p>
    <w:p>
      <w:pPr>
        <w:pStyle w:val="2"/>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）养老服务领域基层政务公开标准目录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2"/>
                <w:szCs w:val="22"/>
                <w:highlight w:val="none"/>
              </w:rPr>
            </w:pPr>
            <w:r>
              <w:rPr>
                <w:rFonts w:ascii="Times New Roman" w:hAnsi="宋体" w:cs="Times New Roman"/>
                <w:color w:val="auto"/>
                <w:kern w:val="0"/>
                <w:sz w:val="22"/>
                <w:szCs w:val="22"/>
                <w:highlight w:val="none"/>
              </w:rPr>
              <w:t>序号</w:t>
            </w:r>
          </w:p>
        </w:tc>
        <w:tc>
          <w:tcPr>
            <w:tcW w:w="21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公开事项</w:t>
            </w:r>
          </w:p>
        </w:tc>
        <w:tc>
          <w:tcPr>
            <w:tcW w:w="28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公开内容（要素）</w:t>
            </w:r>
          </w:p>
        </w:tc>
        <w:tc>
          <w:tcPr>
            <w:tcW w:w="19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公开依据</w:t>
            </w:r>
          </w:p>
        </w:tc>
        <w:tc>
          <w:tcPr>
            <w:tcW w:w="126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公开时限</w:t>
            </w:r>
          </w:p>
        </w:tc>
        <w:tc>
          <w:tcPr>
            <w:tcW w:w="108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   主体</w:t>
            </w:r>
          </w:p>
        </w:tc>
        <w:tc>
          <w:tcPr>
            <w:tcW w:w="162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公开渠道    和载体</w:t>
            </w:r>
          </w:p>
        </w:tc>
        <w:tc>
          <w:tcPr>
            <w:tcW w:w="1249" w:type="dxa"/>
            <w:gridSpan w:val="2"/>
            <w:tcBorders>
              <w:top w:val="single" w:color="auto" w:sz="4" w:space="0"/>
              <w:left w:val="nil"/>
              <w:bottom w:val="nil"/>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公开对象</w:t>
            </w:r>
          </w:p>
        </w:tc>
        <w:tc>
          <w:tcPr>
            <w:tcW w:w="1271"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公开方式</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2"/>
                <w:szCs w:val="22"/>
                <w:highlight w:val="none"/>
              </w:rPr>
            </w:pP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一级事项</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二级事项</w:t>
            </w:r>
          </w:p>
        </w:tc>
        <w:tc>
          <w:tcPr>
            <w:tcW w:w="28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9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26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08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1620" w:type="dxa"/>
            <w:vMerge w:val="continue"/>
            <w:tcBorders>
              <w:top w:val="single" w:color="auto" w:sz="4" w:space="0"/>
              <w:left w:val="nil"/>
              <w:bottom w:val="single" w:color="auto" w:sz="4" w:space="0"/>
              <w:right w:val="single" w:color="auto" w:sz="4" w:space="0"/>
            </w:tcBorders>
            <w:vAlign w:val="center"/>
          </w:tcPr>
          <w:p>
            <w:pPr>
              <w:widowControl/>
              <w:jc w:val="left"/>
              <w:rPr>
                <w:rFonts w:ascii="黑体" w:hAnsi="宋体" w:eastAsia="黑体"/>
                <w:color w:val="auto"/>
                <w:kern w:val="0"/>
                <w:sz w:val="22"/>
                <w:szCs w:val="22"/>
                <w:highlight w:val="none"/>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全社会</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特定群众</w:t>
            </w:r>
          </w:p>
        </w:tc>
        <w:tc>
          <w:tcPr>
            <w:tcW w:w="55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主动</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黑体" w:eastAsia="黑体" w:cs="黑体"/>
                <w:color w:val="auto"/>
                <w:kern w:val="0"/>
                <w:sz w:val="22"/>
                <w:szCs w:val="22"/>
                <w:highlight w:val="none"/>
              </w:rPr>
              <w:t>依申请公开</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县级</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auto"/>
                <w:kern w:val="0"/>
                <w:sz w:val="22"/>
                <w:szCs w:val="22"/>
                <w:highlight w:val="none"/>
              </w:rPr>
            </w:pPr>
            <w:r>
              <w:rPr>
                <w:rFonts w:hint="eastAsia" w:ascii="黑体" w:hAnsi="宋体" w:eastAsia="黑体"/>
                <w:color w:val="auto"/>
                <w:kern w:val="0"/>
                <w:sz w:val="22"/>
                <w:szCs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20" w:type="dxa"/>
            <w:vMerge w:val="restart"/>
            <w:tcBorders>
              <w:top w:val="single" w:color="auto" w:sz="4" w:space="0"/>
              <w:left w:val="nil"/>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养老服务业务办理</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社会保障（市民）卡（老年人优待专用）的核发</w:t>
            </w:r>
          </w:p>
        </w:tc>
        <w:tc>
          <w:tcPr>
            <w:tcW w:w="28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办理事项、办理条件、申请材料清单及格式；办理流程、办理部门、办理时限、办理时间、地点、咨询电话</w:t>
            </w:r>
          </w:p>
        </w:tc>
        <w:tc>
          <w:tcPr>
            <w:tcW w:w="19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2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制定或获取补贴政策之日起10个工作日内</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20" w:type="dxa"/>
            <w:vMerge w:val="continue"/>
            <w:tcBorders>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4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老年人补贴</w:t>
            </w:r>
          </w:p>
        </w:tc>
        <w:tc>
          <w:tcPr>
            <w:tcW w:w="28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老年人补贴名称（高龄津贴）；补贴依据、补贴对象、补贴内容和标准、补贴方式、补贴申请材料清单及格式；办理流程、办理部门、办理时限、办理时间、地点、咨询电话</w:t>
            </w:r>
          </w:p>
        </w:tc>
        <w:tc>
          <w:tcPr>
            <w:tcW w:w="19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信息公开条例》及相关规定</w:t>
            </w:r>
          </w:p>
        </w:tc>
        <w:tc>
          <w:tcPr>
            <w:tcW w:w="126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制定或获取补贴政策之日起10个工作日内</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6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w:t>
            </w:r>
            <w:r>
              <w:rPr>
                <w:rFonts w:hint="eastAsia" w:ascii="仿宋_GB2312" w:hAnsi="仿宋_GB2312" w:eastAsia="仿宋_GB2312" w:cs="仿宋_GB2312"/>
                <w:color w:val="000000"/>
                <w:sz w:val="20"/>
                <w:szCs w:val="20"/>
                <w:lang w:val="en-US" w:eastAsia="zh-CN"/>
              </w:rPr>
              <w:t>广州市花都区花山镇各村（居)</w:t>
            </w:r>
            <w:r>
              <w:rPr>
                <w:rFonts w:hint="eastAsia" w:ascii="仿宋_GB2312" w:hAnsi="仿宋_GB2312" w:eastAsia="仿宋_GB2312" w:cs="仿宋_GB2312"/>
                <w:color w:val="000000"/>
                <w:sz w:val="20"/>
                <w:szCs w:val="20"/>
              </w:rPr>
              <w:t xml:space="preserve">公示栏                                                                                                                                                                                                                                                                                                                                                                  </w:t>
            </w:r>
          </w:p>
        </w:tc>
        <w:tc>
          <w:tcPr>
            <w:tcW w:w="54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51"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tcBorders>
              <w:top w:val="single" w:color="auto" w:sz="4" w:space="0"/>
              <w:left w:val="nil"/>
              <w:bottom w:val="single" w:color="auto" w:sz="4" w:space="0"/>
              <w:right w:val="single" w:color="auto" w:sz="4" w:space="0"/>
            </w:tcBorders>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bl>
    <w:p>
      <w:pPr>
        <w:jc w:val="center"/>
        <w:rPr>
          <w:rFonts w:ascii="Times New Roman" w:hAnsi="Times New Roman" w:eastAsia="方正小标宋_GBK" w:cs="Times New Roman"/>
          <w:color w:val="auto"/>
          <w:sz w:val="28"/>
          <w:szCs w:val="28"/>
          <w:highlight w:val="none"/>
        </w:rPr>
      </w:pPr>
    </w:p>
    <w:p>
      <w:pPr>
        <w:jc w:val="center"/>
        <w:rPr>
          <w:rFonts w:ascii="Times New Roman" w:hAnsi="Times New Roman" w:eastAsia="方正小标宋_GBK" w:cs="Times New Roman"/>
          <w:color w:val="auto"/>
          <w:sz w:val="28"/>
          <w:szCs w:val="28"/>
          <w:highlight w:val="none"/>
        </w:rPr>
      </w:pPr>
    </w:p>
    <w:p>
      <w:pPr>
        <w:jc w:val="center"/>
        <w:rPr>
          <w:rFonts w:ascii="Times New Roman" w:hAnsi="Times New Roman" w:eastAsia="方正小标宋_GBK" w:cs="Times New Roman"/>
          <w:color w:val="auto"/>
          <w:sz w:val="28"/>
          <w:szCs w:val="28"/>
          <w:highlight w:val="none"/>
        </w:rPr>
      </w:pPr>
    </w:p>
    <w:p>
      <w:pPr>
        <w:jc w:val="center"/>
        <w:rPr>
          <w:rFonts w:ascii="Times New Roman" w:hAnsi="Times New Roman" w:eastAsia="方正小标宋_GBK" w:cs="Times New Roman"/>
          <w:color w:val="auto"/>
          <w:sz w:val="28"/>
          <w:szCs w:val="28"/>
          <w:highlight w:val="none"/>
        </w:rPr>
      </w:pPr>
    </w:p>
    <w:p>
      <w:pPr>
        <w:pStyle w:val="2"/>
        <w:jc w:val="center"/>
        <w:rPr>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）就业领域基层政务公开标准目录</w:t>
      </w:r>
    </w:p>
    <w:tbl>
      <w:tblPr>
        <w:tblStyle w:val="6"/>
        <w:tblpPr w:leftFromText="180" w:rightFromText="180" w:vertAnchor="text" w:horzAnchor="page" w:tblpX="906" w:tblpY="1103"/>
        <w:tblOverlap w:val="never"/>
        <w:tblW w:w="15639" w:type="dxa"/>
        <w:tblInd w:w="0" w:type="dxa"/>
        <w:tblLayout w:type="fixed"/>
        <w:tblCellMar>
          <w:top w:w="0" w:type="dxa"/>
          <w:left w:w="108" w:type="dxa"/>
          <w:bottom w:w="0" w:type="dxa"/>
          <w:right w:w="108" w:type="dxa"/>
        </w:tblCellMar>
      </w:tblPr>
      <w:tblGrid>
        <w:gridCol w:w="613"/>
        <w:gridCol w:w="709"/>
        <w:gridCol w:w="850"/>
        <w:gridCol w:w="2044"/>
        <w:gridCol w:w="2067"/>
        <w:gridCol w:w="1559"/>
        <w:gridCol w:w="993"/>
        <w:gridCol w:w="1275"/>
        <w:gridCol w:w="993"/>
        <w:gridCol w:w="992"/>
        <w:gridCol w:w="992"/>
        <w:gridCol w:w="851"/>
        <w:gridCol w:w="850"/>
        <w:gridCol w:w="851"/>
      </w:tblGrid>
      <w:tr>
        <w:tblPrEx>
          <w:tblCellMar>
            <w:top w:w="0" w:type="dxa"/>
            <w:left w:w="108" w:type="dxa"/>
            <w:bottom w:w="0" w:type="dxa"/>
            <w:right w:w="108" w:type="dxa"/>
          </w:tblCellMar>
        </w:tblPrEx>
        <w:trPr>
          <w:trHeight w:val="288" w:hRule="atLeast"/>
        </w:trPr>
        <w:tc>
          <w:tcPr>
            <w:tcW w:w="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kern w:val="0"/>
                <w:sz w:val="22"/>
              </w:rPr>
            </w:pPr>
            <w:r>
              <w:rPr>
                <w:rFonts w:hint="eastAsia" w:ascii="黑体" w:hAnsi="黑体" w:eastAsia="黑体"/>
                <w:kern w:val="0"/>
                <w:sz w:val="22"/>
              </w:rPr>
              <w:t>序号</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公开事项</w:t>
            </w:r>
          </w:p>
        </w:tc>
        <w:tc>
          <w:tcPr>
            <w:tcW w:w="2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公开内容（要素）</w:t>
            </w:r>
          </w:p>
        </w:tc>
        <w:tc>
          <w:tcPr>
            <w:tcW w:w="20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公开依据</w:t>
            </w:r>
          </w:p>
        </w:tc>
        <w:tc>
          <w:tcPr>
            <w:tcW w:w="15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公开时限</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公开主体</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公开渠道和载体</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公开对象</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公开方式</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公开层级</w:t>
            </w:r>
          </w:p>
        </w:tc>
      </w:tr>
      <w:tr>
        <w:tblPrEx>
          <w:tblCellMar>
            <w:top w:w="0" w:type="dxa"/>
            <w:left w:w="108" w:type="dxa"/>
            <w:bottom w:w="0" w:type="dxa"/>
            <w:right w:w="108" w:type="dxa"/>
          </w:tblCellMar>
        </w:tblPrEx>
        <w:trPr>
          <w:trHeight w:val="576" w:hRule="atLeast"/>
        </w:trPr>
        <w:tc>
          <w:tcPr>
            <w:tcW w:w="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二级事项</w:t>
            </w: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20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kern w:val="0"/>
                <w:sz w:val="22"/>
              </w:rPr>
            </w:pP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kern w:val="0"/>
                <w:sz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全社会</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特定群众</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主动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依申请公开</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县级</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kern w:val="0"/>
                <w:sz w:val="22"/>
              </w:rPr>
            </w:pPr>
            <w:r>
              <w:rPr>
                <w:rFonts w:hint="eastAsia" w:ascii="黑体" w:hAnsi="黑体" w:eastAsia="黑体"/>
                <w:kern w:val="0"/>
                <w:sz w:val="22"/>
              </w:rPr>
              <w:t>乡、村级</w:t>
            </w:r>
          </w:p>
        </w:tc>
      </w:tr>
      <w:tr>
        <w:tblPrEx>
          <w:tblCellMar>
            <w:top w:w="0" w:type="dxa"/>
            <w:left w:w="108" w:type="dxa"/>
            <w:bottom w:w="0" w:type="dxa"/>
            <w:right w:w="108" w:type="dxa"/>
          </w:tblCellMar>
        </w:tblPrEx>
        <w:trPr>
          <w:trHeight w:val="1188"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就业信息服务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就业政策法规咨询</w:t>
            </w:r>
          </w:p>
        </w:tc>
        <w:tc>
          <w:tcPr>
            <w:tcW w:w="204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就业创业政策项目、对象范围、政策申请条件、政策申请材料、办理流程、办理地点（方式）、咨询电话</w:t>
            </w:r>
          </w:p>
        </w:tc>
        <w:tc>
          <w:tcPr>
            <w:tcW w:w="2067" w:type="dxa"/>
            <w:tcBorders>
              <w:top w:val="nil"/>
              <w:left w:val="nil"/>
              <w:bottom w:val="nil"/>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kern w:val="0"/>
                <w:sz w:val="20"/>
                <w:szCs w:val="20"/>
              </w:rPr>
              <w:t>、《就业促进法》、《人力资源市场暂行条例》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lang w:eastAsia="zh-CN"/>
              </w:rPr>
              <w:t>花山镇人民政府</w:t>
            </w:r>
          </w:p>
        </w:tc>
        <w:tc>
          <w:tcPr>
            <w:tcW w:w="12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rPr>
              <w:t>■基层公共服务平台—</w:t>
            </w:r>
            <w:r>
              <w:rPr>
                <w:rFonts w:hint="eastAsia" w:ascii="仿宋_GB2312" w:hAnsi="仿宋_GB2312" w:eastAsia="仿宋_GB2312" w:cs="仿宋_GB2312"/>
                <w:color w:val="000000"/>
                <w:sz w:val="20"/>
                <w:szCs w:val="20"/>
                <w:lang w:eastAsia="zh-CN"/>
              </w:rPr>
              <w:t>花山镇政务服务中心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852"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709" w:type="dxa"/>
            <w:tcBorders>
              <w:top w:val="single" w:color="auto" w:sz="4" w:space="0"/>
              <w:left w:val="nil"/>
              <w:bottom w:val="nil"/>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公共就业服务专项活动</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活动通知、活动时间、参与方式、相关材料、活动地址、咨询电话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kern w:val="0"/>
                <w:sz w:val="20"/>
                <w:szCs w:val="20"/>
              </w:rPr>
              <w:t>、《就业促进法》、《人力资源市场暂行条例》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lang w:eastAsia="zh-CN"/>
              </w:rPr>
              <w:t>花山镇人民政府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w:t>
            </w:r>
            <w:r>
              <w:rPr>
                <w:rFonts w:hint="eastAsia" w:ascii="仿宋_GB2312" w:hAnsi="仿宋_GB2312" w:eastAsia="仿宋_GB2312" w:cs="仿宋_GB2312"/>
                <w:color w:val="000000"/>
                <w:sz w:val="20"/>
                <w:szCs w:val="20"/>
                <w:lang w:eastAsia="zh-CN"/>
              </w:rPr>
              <w:t>花山镇政务服务中心</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40" w:hRule="atLeast"/>
        </w:trPr>
        <w:tc>
          <w:tcPr>
            <w:tcW w:w="6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就业失业登记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失业登记</w:t>
            </w:r>
          </w:p>
        </w:tc>
        <w:tc>
          <w:tcPr>
            <w:tcW w:w="204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kern w:val="0"/>
                <w:sz w:val="20"/>
                <w:szCs w:val="20"/>
              </w:rPr>
              <w:t>、《就业促进法》、《人力资源市场暂行条例》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lang w:eastAsia="zh-CN"/>
              </w:rPr>
              <w:t>花山镇人民政府</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p>
            <w:pPr>
              <w:widowControl/>
              <w:jc w:val="left"/>
              <w:rPr>
                <w:rFonts w:hint="eastAsia" w:ascii="仿宋_GB2312" w:hAnsi="仿宋_GB2312" w:eastAsia="仿宋_GB2312" w:cs="仿宋_GB2312"/>
                <w:kern w:val="0"/>
                <w:sz w:val="20"/>
                <w:szCs w:val="20"/>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116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就业登记</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lang w:eastAsia="zh-CN"/>
              </w:rPr>
              <w:t>花山镇人民政府</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1788"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对就业困难人员（含建档立卡贫困劳动力）实施就业援助</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灵活就业社会保险补贴</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kern w:val="0"/>
                <w:sz w:val="20"/>
                <w:szCs w:val="20"/>
              </w:rPr>
              <w:t>、《就业促进法》、《人力资源市场暂行条例》《广州市人力资源和社会保障局广州市财政局关于印发〈广州市就业补助资金使用管理办法〉的通知》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lang w:eastAsia="zh-CN"/>
              </w:rPr>
              <w:t>花山镇人民政府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■广东省政务服务网-广州市花都区</w:t>
            </w:r>
          </w:p>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■基层公共服务平台—微信公众号“广州人社”■基层公共服务平台—网站：广州市人力资源和社会保障局网上办事系统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CellMar>
            <w:top w:w="0" w:type="dxa"/>
            <w:left w:w="108" w:type="dxa"/>
            <w:bottom w:w="0" w:type="dxa"/>
            <w:right w:w="108" w:type="dxa"/>
          </w:tblCellMar>
        </w:tblPrEx>
        <w:trPr>
          <w:trHeight w:val="2831"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就业困难人员认定</w:t>
            </w:r>
          </w:p>
        </w:tc>
        <w:tc>
          <w:tcPr>
            <w:tcW w:w="2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文件依据、对象范围、申请条件、申请材料、办理流程、办理时限、办理地点（方式）、办理结果告知方式、咨询电话</w:t>
            </w:r>
          </w:p>
        </w:tc>
        <w:tc>
          <w:tcPr>
            <w:tcW w:w="2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仿宋_GB2312" w:eastAsia="仿宋_GB2312" w:cs="仿宋_GB2312"/>
                <w:kern w:val="0"/>
                <w:sz w:val="20"/>
                <w:szCs w:val="20"/>
              </w:rPr>
              <w:t>、《就业促进法》、《人力资源市场暂行条例》《广州市人力资源和社会保障局广州市财政局关于印发〈广州市就业补助资金使用管理办法〉的通知》</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公开事项信息形成或变更之日起20个工作日内公开</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lang w:eastAsia="zh-CN"/>
              </w:rPr>
              <w:t>花山镇人民政府</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■基层公共服务平台--网站：广州市人力资源和社会保障局网上办事系统</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rPr>
          <w:rFonts w:hint="eastAsia" w:ascii="仿宋" w:hAnsi="仿宋" w:eastAsia="仿宋"/>
          <w:color w:val="auto"/>
          <w:kern w:val="2"/>
          <w:sz w:val="32"/>
          <w:szCs w:val="32"/>
          <w:highlight w:val="none"/>
        </w:rPr>
      </w:pPr>
    </w:p>
    <w:p>
      <w:pPr>
        <w:rPr>
          <w:rFonts w:hint="eastAsia" w:ascii="仿宋" w:hAnsi="仿宋" w:eastAsia="仿宋"/>
          <w:color w:val="auto"/>
          <w:kern w:val="2"/>
          <w:sz w:val="32"/>
          <w:szCs w:val="32"/>
          <w:highlight w:val="none"/>
        </w:rPr>
      </w:pPr>
    </w:p>
    <w:p>
      <w:pPr>
        <w:pStyle w:val="2"/>
        <w:spacing w:line="400" w:lineRule="exact"/>
        <w:rPr>
          <w:rFonts w:hint="eastAsia" w:ascii="仿宋" w:hAnsi="仿宋" w:eastAsia="仿宋"/>
          <w:color w:val="auto"/>
          <w:kern w:val="2"/>
          <w:sz w:val="32"/>
          <w:szCs w:val="32"/>
          <w:highlight w:val="none"/>
        </w:rPr>
      </w:pPr>
    </w:p>
    <w:p>
      <w:pPr>
        <w:pStyle w:val="2"/>
        <w:spacing w:line="400" w:lineRule="exact"/>
        <w:rPr>
          <w:rFonts w:hint="eastAsia" w:ascii="仿宋" w:hAnsi="仿宋" w:eastAsia="仿宋"/>
          <w:color w:val="auto"/>
          <w:kern w:val="2"/>
          <w:sz w:val="32"/>
          <w:szCs w:val="32"/>
          <w:highlight w:val="none"/>
        </w:rPr>
      </w:pPr>
    </w:p>
    <w:p>
      <w:pPr>
        <w:pStyle w:val="2"/>
        <w:spacing w:line="400" w:lineRule="exact"/>
        <w:rPr>
          <w:rFonts w:hint="eastAsia" w:ascii="仿宋" w:hAnsi="仿宋" w:eastAsia="仿宋"/>
          <w:color w:val="auto"/>
          <w:kern w:val="2"/>
          <w:sz w:val="32"/>
          <w:szCs w:val="32"/>
          <w:highlight w:val="none"/>
        </w:rPr>
      </w:pPr>
    </w:p>
    <w:p>
      <w:pPr>
        <w:pStyle w:val="2"/>
        <w:spacing w:line="400" w:lineRule="exact"/>
        <w:rPr>
          <w:rFonts w:hint="eastAsia" w:ascii="仿宋" w:hAnsi="仿宋" w:eastAsia="仿宋"/>
          <w:color w:val="auto"/>
          <w:kern w:val="2"/>
          <w:sz w:val="32"/>
          <w:szCs w:val="32"/>
          <w:highlight w:val="none"/>
        </w:rPr>
      </w:pPr>
    </w:p>
    <w:p>
      <w:pPr>
        <w:rPr>
          <w:rFonts w:hint="eastAsia"/>
        </w:rPr>
      </w:pPr>
    </w:p>
    <w:p>
      <w:pPr>
        <w:pStyle w:val="2"/>
        <w:jc w:val="center"/>
        <w:rPr>
          <w:rFonts w:ascii="仿宋" w:hAnsi="仿宋" w:eastAsia="仿宋" w:cs="仿宋"/>
          <w:bCs w:val="0"/>
          <w:sz w:val="32"/>
          <w:szCs w:val="32"/>
        </w:rPr>
      </w:pPr>
      <w:r>
        <w:rPr>
          <w:rFonts w:hint="eastAsia" w:ascii="仿宋" w:hAnsi="仿宋" w:eastAsia="仿宋" w:cs="仿宋"/>
          <w:bCs w:val="0"/>
          <w:sz w:val="32"/>
          <w:szCs w:val="32"/>
        </w:rPr>
        <w:t>（</w:t>
      </w:r>
      <w:r>
        <w:rPr>
          <w:rFonts w:hint="eastAsia" w:ascii="仿宋" w:hAnsi="仿宋" w:eastAsia="仿宋" w:cs="仿宋"/>
          <w:bCs w:val="0"/>
          <w:sz w:val="32"/>
          <w:szCs w:val="32"/>
          <w:lang w:eastAsia="zh-CN"/>
        </w:rPr>
        <w:t>五</w:t>
      </w:r>
      <w:r>
        <w:rPr>
          <w:rFonts w:hint="eastAsia" w:ascii="仿宋" w:hAnsi="仿宋" w:eastAsia="仿宋" w:cs="仿宋"/>
          <w:bCs w:val="0"/>
          <w:sz w:val="32"/>
          <w:szCs w:val="32"/>
        </w:rPr>
        <w:t>）社会保险领域基层政务公开标准目录</w:t>
      </w:r>
    </w:p>
    <w:tbl>
      <w:tblPr>
        <w:tblStyle w:val="6"/>
        <w:tblW w:w="15210"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5"/>
        <w:gridCol w:w="1140"/>
        <w:gridCol w:w="2775"/>
        <w:gridCol w:w="1725"/>
        <w:gridCol w:w="1530"/>
        <w:gridCol w:w="720"/>
        <w:gridCol w:w="1905"/>
        <w:gridCol w:w="600"/>
        <w:gridCol w:w="705"/>
        <w:gridCol w:w="540"/>
        <w:gridCol w:w="735"/>
        <w:gridCol w:w="6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vAlign w:val="center"/>
          </w:tcPr>
          <w:p>
            <w:pPr>
              <w:widowControl/>
              <w:jc w:val="center"/>
              <w:rPr>
                <w:rFonts w:ascii="黑体" w:hAnsi="Times New Roman" w:eastAsia="黑体"/>
                <w:kern w:val="0"/>
                <w:sz w:val="22"/>
              </w:rPr>
            </w:pPr>
            <w:r>
              <w:rPr>
                <w:rFonts w:hint="eastAsia" w:ascii="黑体" w:hAnsi="宋体" w:eastAsia="黑体"/>
                <w:kern w:val="0"/>
                <w:sz w:val="22"/>
              </w:rPr>
              <w:t>序号</w:t>
            </w:r>
          </w:p>
        </w:tc>
        <w:tc>
          <w:tcPr>
            <w:tcW w:w="199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公开事项</w:t>
            </w:r>
          </w:p>
        </w:tc>
        <w:tc>
          <w:tcPr>
            <w:tcW w:w="277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公开内容（要素）</w:t>
            </w:r>
          </w:p>
        </w:tc>
        <w:tc>
          <w:tcPr>
            <w:tcW w:w="172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公开依据</w:t>
            </w:r>
          </w:p>
        </w:tc>
        <w:tc>
          <w:tcPr>
            <w:tcW w:w="153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公开时限</w:t>
            </w:r>
          </w:p>
        </w:tc>
        <w:tc>
          <w:tcPr>
            <w:tcW w:w="720"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公开主体</w:t>
            </w:r>
          </w:p>
        </w:tc>
        <w:tc>
          <w:tcPr>
            <w:tcW w:w="1905" w:type="dxa"/>
            <w:vMerge w:val="restart"/>
            <w:vAlign w:val="center"/>
          </w:tcPr>
          <w:p>
            <w:pPr>
              <w:widowControl/>
              <w:jc w:val="center"/>
              <w:rPr>
                <w:rFonts w:ascii="黑体" w:hAnsi="宋体" w:eastAsia="黑体"/>
                <w:kern w:val="0"/>
                <w:sz w:val="22"/>
              </w:rPr>
            </w:pPr>
            <w:r>
              <w:rPr>
                <w:rFonts w:hint="eastAsia" w:ascii="黑体" w:hAnsi="宋体" w:eastAsia="黑体"/>
                <w:kern w:val="0"/>
                <w:sz w:val="22"/>
              </w:rPr>
              <w:t>公开渠道和载体</w:t>
            </w:r>
          </w:p>
        </w:tc>
        <w:tc>
          <w:tcPr>
            <w:tcW w:w="130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公开对象</w:t>
            </w:r>
          </w:p>
        </w:tc>
        <w:tc>
          <w:tcPr>
            <w:tcW w:w="127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公开方式</w:t>
            </w:r>
          </w:p>
        </w:tc>
        <w:tc>
          <w:tcPr>
            <w:tcW w:w="1455" w:type="dxa"/>
            <w:gridSpan w:val="2"/>
            <w:vAlign w:val="center"/>
          </w:tcPr>
          <w:p>
            <w:pPr>
              <w:widowControl/>
              <w:jc w:val="center"/>
              <w:rPr>
                <w:rFonts w:ascii="黑体" w:hAnsi="宋体" w:eastAsia="黑体"/>
                <w:kern w:val="0"/>
                <w:sz w:val="22"/>
              </w:rPr>
            </w:pPr>
            <w:r>
              <w:rPr>
                <w:rFonts w:hint="eastAsia" w:ascii="黑体" w:hAnsi="宋体" w:eastAsia="黑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vAlign w:val="center"/>
          </w:tcPr>
          <w:p>
            <w:pPr>
              <w:widowControl/>
              <w:jc w:val="left"/>
              <w:rPr>
                <w:rFonts w:ascii="Times New Roman" w:hAnsi="Times New Roman"/>
                <w:kern w:val="0"/>
                <w:sz w:val="15"/>
                <w:szCs w:val="15"/>
              </w:rPr>
            </w:pPr>
          </w:p>
        </w:tc>
        <w:tc>
          <w:tcPr>
            <w:tcW w:w="855" w:type="dxa"/>
            <w:vAlign w:val="center"/>
          </w:tcPr>
          <w:p>
            <w:pPr>
              <w:widowControl/>
              <w:jc w:val="center"/>
              <w:rPr>
                <w:rFonts w:ascii="黑体" w:hAnsi="宋体" w:eastAsia="黑体"/>
                <w:kern w:val="0"/>
                <w:sz w:val="22"/>
              </w:rPr>
            </w:pPr>
            <w:r>
              <w:rPr>
                <w:rFonts w:hint="eastAsia" w:ascii="黑体" w:hAnsi="宋体" w:eastAsia="黑体"/>
                <w:kern w:val="0"/>
                <w:sz w:val="22"/>
              </w:rPr>
              <w:t>一级事项</w:t>
            </w:r>
          </w:p>
        </w:tc>
        <w:tc>
          <w:tcPr>
            <w:tcW w:w="1140" w:type="dxa"/>
            <w:vAlign w:val="center"/>
          </w:tcPr>
          <w:p>
            <w:pPr>
              <w:widowControl/>
              <w:jc w:val="center"/>
              <w:rPr>
                <w:rFonts w:ascii="黑体" w:hAnsi="宋体" w:eastAsia="黑体"/>
                <w:kern w:val="0"/>
                <w:sz w:val="22"/>
              </w:rPr>
            </w:pPr>
            <w:r>
              <w:rPr>
                <w:rFonts w:hint="eastAsia" w:ascii="黑体" w:hAnsi="宋体" w:eastAsia="黑体"/>
                <w:kern w:val="0"/>
                <w:sz w:val="22"/>
              </w:rPr>
              <w:t>二级事项</w:t>
            </w:r>
          </w:p>
        </w:tc>
        <w:tc>
          <w:tcPr>
            <w:tcW w:w="2775" w:type="dxa"/>
            <w:vMerge w:val="continue"/>
            <w:vAlign w:val="center"/>
          </w:tcPr>
          <w:p>
            <w:pPr>
              <w:widowControl/>
              <w:rPr>
                <w:rFonts w:ascii="黑体" w:hAnsi="宋体" w:eastAsia="黑体"/>
                <w:kern w:val="0"/>
                <w:sz w:val="22"/>
              </w:rPr>
            </w:pPr>
          </w:p>
        </w:tc>
        <w:tc>
          <w:tcPr>
            <w:tcW w:w="1725" w:type="dxa"/>
            <w:vMerge w:val="continue"/>
            <w:vAlign w:val="center"/>
          </w:tcPr>
          <w:p>
            <w:pPr>
              <w:widowControl/>
              <w:jc w:val="left"/>
              <w:rPr>
                <w:rFonts w:ascii="黑体" w:hAnsi="宋体" w:eastAsia="黑体"/>
                <w:kern w:val="0"/>
                <w:sz w:val="22"/>
              </w:rPr>
            </w:pPr>
          </w:p>
        </w:tc>
        <w:tc>
          <w:tcPr>
            <w:tcW w:w="1530" w:type="dxa"/>
            <w:vMerge w:val="continue"/>
            <w:vAlign w:val="center"/>
          </w:tcPr>
          <w:p>
            <w:pPr>
              <w:widowControl/>
              <w:jc w:val="left"/>
              <w:rPr>
                <w:rFonts w:ascii="黑体" w:hAnsi="宋体" w:eastAsia="黑体"/>
                <w:kern w:val="0"/>
                <w:sz w:val="22"/>
              </w:rPr>
            </w:pPr>
          </w:p>
        </w:tc>
        <w:tc>
          <w:tcPr>
            <w:tcW w:w="720" w:type="dxa"/>
            <w:vMerge w:val="continue"/>
            <w:vAlign w:val="center"/>
          </w:tcPr>
          <w:p>
            <w:pPr>
              <w:widowControl/>
              <w:jc w:val="left"/>
              <w:rPr>
                <w:rFonts w:ascii="黑体" w:hAnsi="宋体" w:eastAsia="黑体"/>
                <w:kern w:val="0"/>
                <w:sz w:val="22"/>
              </w:rPr>
            </w:pPr>
          </w:p>
        </w:tc>
        <w:tc>
          <w:tcPr>
            <w:tcW w:w="1905" w:type="dxa"/>
            <w:vMerge w:val="continue"/>
            <w:vAlign w:val="center"/>
          </w:tcPr>
          <w:p>
            <w:pPr>
              <w:widowControl/>
              <w:jc w:val="left"/>
              <w:rPr>
                <w:rFonts w:ascii="黑体" w:hAnsi="宋体" w:eastAsia="黑体"/>
                <w:kern w:val="0"/>
                <w:sz w:val="22"/>
              </w:rPr>
            </w:pPr>
          </w:p>
        </w:tc>
        <w:tc>
          <w:tcPr>
            <w:tcW w:w="600" w:type="dxa"/>
            <w:vAlign w:val="center"/>
          </w:tcPr>
          <w:p>
            <w:pPr>
              <w:widowControl/>
              <w:jc w:val="center"/>
              <w:rPr>
                <w:rFonts w:ascii="黑体" w:hAnsi="宋体" w:eastAsia="黑体"/>
                <w:kern w:val="0"/>
                <w:sz w:val="22"/>
              </w:rPr>
            </w:pPr>
            <w:r>
              <w:rPr>
                <w:rFonts w:hint="eastAsia" w:ascii="黑体" w:hAnsi="宋体" w:eastAsia="黑体"/>
                <w:kern w:val="0"/>
                <w:sz w:val="22"/>
              </w:rPr>
              <w:t>全社会</w:t>
            </w:r>
          </w:p>
        </w:tc>
        <w:tc>
          <w:tcPr>
            <w:tcW w:w="705" w:type="dxa"/>
            <w:vAlign w:val="center"/>
          </w:tcPr>
          <w:p>
            <w:pPr>
              <w:widowControl/>
              <w:jc w:val="center"/>
              <w:rPr>
                <w:rFonts w:ascii="黑体" w:hAnsi="宋体" w:eastAsia="黑体"/>
                <w:kern w:val="0"/>
                <w:sz w:val="22"/>
              </w:rPr>
            </w:pPr>
            <w:r>
              <w:rPr>
                <w:rFonts w:hint="eastAsia" w:ascii="黑体" w:hAnsi="宋体" w:eastAsia="黑体"/>
                <w:kern w:val="0"/>
                <w:sz w:val="22"/>
              </w:rPr>
              <w:t>特定群众</w:t>
            </w:r>
          </w:p>
        </w:tc>
        <w:tc>
          <w:tcPr>
            <w:tcW w:w="540" w:type="dxa"/>
            <w:vAlign w:val="center"/>
          </w:tcPr>
          <w:p>
            <w:pPr>
              <w:widowControl/>
              <w:jc w:val="center"/>
              <w:rPr>
                <w:rFonts w:ascii="黑体" w:hAnsi="宋体" w:eastAsia="黑体"/>
                <w:kern w:val="0"/>
                <w:sz w:val="22"/>
              </w:rPr>
            </w:pPr>
            <w:r>
              <w:rPr>
                <w:rFonts w:hint="eastAsia" w:ascii="黑体" w:hAnsi="宋体" w:eastAsia="黑体"/>
                <w:kern w:val="0"/>
                <w:sz w:val="22"/>
              </w:rPr>
              <w:t>主动</w:t>
            </w:r>
          </w:p>
        </w:tc>
        <w:tc>
          <w:tcPr>
            <w:tcW w:w="735" w:type="dxa"/>
            <w:vAlign w:val="center"/>
          </w:tcPr>
          <w:p>
            <w:pPr>
              <w:widowControl/>
              <w:jc w:val="center"/>
              <w:rPr>
                <w:rFonts w:ascii="黑体" w:hAnsi="宋体" w:eastAsia="黑体"/>
                <w:kern w:val="0"/>
                <w:sz w:val="22"/>
              </w:rPr>
            </w:pPr>
            <w:r>
              <w:rPr>
                <w:rFonts w:hint="eastAsia" w:ascii="黑体" w:hAnsi="宋体" w:eastAsia="黑体"/>
                <w:kern w:val="0"/>
                <w:sz w:val="22"/>
              </w:rPr>
              <w:t>依申请公开</w:t>
            </w:r>
          </w:p>
        </w:tc>
        <w:tc>
          <w:tcPr>
            <w:tcW w:w="690" w:type="dxa"/>
            <w:vAlign w:val="center"/>
          </w:tcPr>
          <w:p>
            <w:pPr>
              <w:widowControl/>
              <w:jc w:val="center"/>
              <w:rPr>
                <w:rFonts w:ascii="黑体" w:hAnsi="宋体" w:eastAsia="黑体"/>
                <w:kern w:val="0"/>
                <w:sz w:val="22"/>
              </w:rPr>
            </w:pPr>
            <w:r>
              <w:rPr>
                <w:rFonts w:hint="eastAsia" w:ascii="黑体" w:hAnsi="宋体" w:eastAsia="黑体"/>
                <w:kern w:val="0"/>
                <w:sz w:val="22"/>
              </w:rPr>
              <w:t>县级</w:t>
            </w:r>
          </w:p>
        </w:tc>
        <w:tc>
          <w:tcPr>
            <w:tcW w:w="765" w:type="dxa"/>
            <w:vAlign w:val="center"/>
          </w:tcPr>
          <w:p>
            <w:pPr>
              <w:widowControl/>
              <w:jc w:val="center"/>
              <w:rPr>
                <w:rFonts w:ascii="黑体" w:hAnsi="宋体" w:eastAsia="黑体"/>
                <w:kern w:val="0"/>
                <w:sz w:val="22"/>
              </w:rPr>
            </w:pPr>
            <w:r>
              <w:rPr>
                <w:rFonts w:hint="eastAsia" w:ascii="黑体" w:hAnsi="宋体" w:eastAsia="黑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w:t>
            </w:r>
          </w:p>
        </w:tc>
        <w:tc>
          <w:tcPr>
            <w:tcW w:w="855"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社会保险登记</w:t>
            </w:r>
          </w:p>
        </w:tc>
        <w:tc>
          <w:tcPr>
            <w:tcW w:w="1140" w:type="dxa"/>
            <w:shd w:val="clear" w:color="auto" w:fill="auto"/>
            <w:vAlign w:val="center"/>
          </w:tcPr>
          <w:p>
            <w:pPr>
              <w:widowControl/>
              <w:jc w:val="center"/>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城乡居民养老保险参保登记</w:t>
            </w:r>
          </w:p>
        </w:tc>
        <w:tc>
          <w:tcPr>
            <w:tcW w:w="277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hint="eastAsia" w:ascii="仿宋_GB2312" w:hAnsi="仿宋_GB2312" w:eastAsia="仿宋_GB2312" w:cs="仿宋_GB2312"/>
                <w:color w:val="000000"/>
                <w:sz w:val="20"/>
                <w:szCs w:val="20"/>
                <w:lang w:eastAsia="zh-CN"/>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hint="eastAsia" w:ascii="仿宋_GB2312" w:hAnsi="仿宋_GB2312" w:eastAsia="仿宋_GB2312" w:cs="仿宋_GB2312"/>
                <w:color w:val="000000"/>
                <w:sz w:val="20"/>
                <w:szCs w:val="20"/>
                <w:lang w:eastAsia="zh-CN"/>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企业参保单位社会保险信息变更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城乡居民养老保险个人信息变更</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《政府信息公开条例》、《社会保险法》、《社会保险费征缴暂行条例》</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4</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5</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6</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失业保险待遇发放账户维护申请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7</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社会保险参保信息维护</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城乡居民养老保险费断缴补缴申报</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8</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社会保险参保缴费记录查询</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单位参保证明查询打印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9</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个人权益记录（参保证明）查询打印</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、《社会保险法》、《社会保险费征缴暂行条例》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10</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企业职工领取养老待遇资格认证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11</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城乡居民领取养老保险待遇资格认证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12</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城乡居民养老保险待遇申领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13</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养老保险参保缴费凭证申请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14</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养老保险服务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暂停城乡居民养老保险待遇申请</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、《社会保险法》、《劳动保险条例》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15</w:t>
            </w:r>
          </w:p>
        </w:tc>
        <w:tc>
          <w:tcPr>
            <w:tcW w:w="855"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工伤职工和供养亲属领取工伤保险长期待遇资格认证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、《社会保险法》、《工伤保险条例》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16</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17</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失业补助金申领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18</w:t>
            </w:r>
          </w:p>
        </w:tc>
        <w:tc>
          <w:tcPr>
            <w:tcW w:w="855" w:type="dxa"/>
            <w:vMerge w:val="continue"/>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领取失业保险金资格认证</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19</w:t>
            </w:r>
          </w:p>
        </w:tc>
        <w:tc>
          <w:tcPr>
            <w:tcW w:w="85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非本省户籍人员一次性失业保险金申领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20</w:t>
            </w:r>
          </w:p>
        </w:tc>
        <w:tc>
          <w:tcPr>
            <w:tcW w:w="855" w:type="dxa"/>
            <w:vMerge w:val="restart"/>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失业保险服务</w:t>
            </w: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核定失业人员停领失业保险待遇</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sz w:val="20"/>
                <w:szCs w:val="20"/>
              </w:rPr>
              <w:t>■广东省政务服务网-广州市花都区</w:t>
            </w:r>
          </w:p>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21</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丧葬补助金和抚恤金申领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22</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农民合同制工人一次性生活补助申领</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23</w:t>
            </w:r>
          </w:p>
        </w:tc>
        <w:tc>
          <w:tcPr>
            <w:tcW w:w="855" w:type="dxa"/>
            <w:vMerge w:val="continue"/>
            <w:shd w:val="clear" w:color="auto" w:fill="auto"/>
            <w:vAlign w:val="center"/>
          </w:tcPr>
          <w:p>
            <w:pPr>
              <w:widowControl/>
              <w:jc w:val="left"/>
              <w:rPr>
                <w:rFonts w:ascii="仿宋_GB2312" w:hAnsi="仿宋_GB2312" w:eastAsia="仿宋_GB2312" w:cs="仿宋_GB2312"/>
                <w:color w:val="000000"/>
                <w:kern w:val="0"/>
                <w:sz w:val="20"/>
                <w:szCs w:val="20"/>
              </w:rPr>
            </w:pPr>
          </w:p>
        </w:tc>
        <w:tc>
          <w:tcPr>
            <w:tcW w:w="1140" w:type="dxa"/>
            <w:shd w:val="clear" w:color="auto" w:fill="auto"/>
            <w:vAlign w:val="center"/>
          </w:tcPr>
          <w:p>
            <w:pPr>
              <w:widowControl/>
              <w:jc w:val="center"/>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代缴基本医疗保险费</w:t>
            </w:r>
          </w:p>
        </w:tc>
        <w:tc>
          <w:tcPr>
            <w:tcW w:w="277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事项名称、事项简述、办理材料、办理方式、办理时限、结果送达、收费依据及标准、办事时间、办理机构及地点、咨询查询途径、监督投诉渠道</w:t>
            </w:r>
          </w:p>
        </w:tc>
        <w:tc>
          <w:tcPr>
            <w:tcW w:w="1725"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lang w:val="en-US" w:eastAsia="zh-CN"/>
              </w:rPr>
              <w:t>政府</w:t>
            </w:r>
            <w:r>
              <w:rPr>
                <w:rFonts w:hint="eastAsia" w:ascii="仿宋_GB2312" w:hAnsi="仿宋_GB2312" w:eastAsia="仿宋_GB2312" w:cs="仿宋_GB2312"/>
                <w:color w:val="000000"/>
                <w:sz w:val="20"/>
                <w:szCs w:val="20"/>
              </w:rPr>
              <w:t>信息公开条例》</w:t>
            </w:r>
            <w:r>
              <w:rPr>
                <w:rFonts w:hint="eastAsia" w:ascii="仿宋_GB2312" w:hAnsi="宋体" w:eastAsia="仿宋_GB2312"/>
                <w:color w:val="000000"/>
                <w:kern w:val="0"/>
                <w:sz w:val="20"/>
                <w:szCs w:val="20"/>
              </w:rPr>
              <w:t>、《社会保险法》、《失业保险条例》</w:t>
            </w:r>
          </w:p>
        </w:tc>
        <w:tc>
          <w:tcPr>
            <w:tcW w:w="1530" w:type="dxa"/>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宋体" w:eastAsia="仿宋_GB2312"/>
                <w:color w:val="000000"/>
                <w:kern w:val="0"/>
                <w:sz w:val="20"/>
                <w:szCs w:val="20"/>
              </w:rPr>
              <w:t>公开事项信息形成或变更之日起20个工作日内公开</w:t>
            </w:r>
          </w:p>
        </w:tc>
        <w:tc>
          <w:tcPr>
            <w:tcW w:w="720" w:type="dxa"/>
            <w:vAlign w:val="center"/>
          </w:tcPr>
          <w:p>
            <w:pPr>
              <w:widowControl/>
              <w:jc w:val="left"/>
              <w:textAlignment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lang w:eastAsia="zh-CN"/>
              </w:rPr>
              <w:t>花山镇人民政府</w:t>
            </w:r>
          </w:p>
        </w:tc>
        <w:tc>
          <w:tcPr>
            <w:tcW w:w="1905" w:type="dxa"/>
            <w:shd w:val="clear" w:color="auto" w:fill="auto"/>
            <w:vAlign w:val="center"/>
          </w:tcPr>
          <w:p>
            <w:pPr>
              <w:jc w:val="center"/>
              <w:rPr>
                <w:rFonts w:ascii="仿宋_GB2312" w:hAnsi="仿宋_GB2312" w:eastAsia="仿宋_GB2312" w:cs="仿宋_GB2312"/>
                <w:color w:val="000000"/>
                <w:kern w:val="0"/>
                <w:sz w:val="20"/>
                <w:szCs w:val="20"/>
              </w:rPr>
            </w:pPr>
            <w:r>
              <w:rPr>
                <w:rFonts w:hint="eastAsia" w:ascii="仿宋_GB2312" w:hAnsi="宋体" w:eastAsia="仿宋_GB2312"/>
                <w:color w:val="000000"/>
                <w:sz w:val="20"/>
                <w:szCs w:val="20"/>
              </w:rPr>
              <w:t>■基层公共服务平台--</w:t>
            </w:r>
            <w:r>
              <w:rPr>
                <w:rFonts w:hint="eastAsia" w:ascii="仿宋_GB2312" w:hAnsi="宋体" w:eastAsia="仿宋_GB2312"/>
                <w:color w:val="000000"/>
                <w:sz w:val="20"/>
                <w:szCs w:val="20"/>
                <w:lang w:eastAsia="zh-CN"/>
              </w:rPr>
              <w:t>花山镇政务服务中心</w:t>
            </w:r>
          </w:p>
        </w:tc>
        <w:tc>
          <w:tcPr>
            <w:tcW w:w="60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0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54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3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　</w:t>
            </w:r>
          </w:p>
        </w:tc>
        <w:tc>
          <w:tcPr>
            <w:tcW w:w="690"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c>
          <w:tcPr>
            <w:tcW w:w="765" w:type="dxa"/>
            <w:shd w:val="clear" w:color="auto" w:fill="auto"/>
            <w:vAlign w:val="center"/>
          </w:tcPr>
          <w:p>
            <w:pPr>
              <w:widowControl/>
              <w:jc w:val="center"/>
              <w:rPr>
                <w:rFonts w:ascii="仿宋_GB2312" w:hAnsi="宋体" w:eastAsia="仿宋_GB2312"/>
                <w:color w:val="000000"/>
                <w:sz w:val="20"/>
                <w:szCs w:val="20"/>
              </w:rPr>
            </w:pPr>
            <w:r>
              <w:rPr>
                <w:rFonts w:hint="eastAsia" w:ascii="仿宋_GB2312" w:hAnsi="宋体" w:eastAsia="仿宋_GB2312"/>
                <w:color w:val="000000"/>
                <w:kern w:val="0"/>
                <w:sz w:val="20"/>
                <w:szCs w:val="20"/>
              </w:rPr>
              <w:t>√</w:t>
            </w:r>
          </w:p>
        </w:tc>
      </w:tr>
    </w:tbl>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b/>
          <w:bCs/>
          <w:sz w:val="32"/>
          <w:szCs w:val="32"/>
        </w:rPr>
      </w:pPr>
    </w:p>
    <w:p>
      <w:pPr>
        <w:pStyle w:val="2"/>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）农村集体土地征收基层政务公开标准目录</w:t>
      </w:r>
      <w:bookmarkEnd w:id="2"/>
    </w:p>
    <w:tbl>
      <w:tblPr>
        <w:tblStyle w:val="6"/>
        <w:tblpPr w:leftFromText="180" w:rightFromText="180" w:vertAnchor="text" w:horzAnchor="page" w:tblpX="769" w:tblpY="735"/>
        <w:tblOverlap w:val="never"/>
        <w:tblW w:w="15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olor w:val="auto"/>
                <w:kern w:val="0"/>
                <w:sz w:val="22"/>
                <w:highlight w:val="none"/>
              </w:rPr>
            </w:pPr>
            <w:r>
              <w:rPr>
                <w:rFonts w:ascii="黑体" w:hAnsi="宋体" w:eastAsia="黑体" w:cs="宋体"/>
                <w:color w:val="auto"/>
                <w:kern w:val="0"/>
                <w:sz w:val="22"/>
                <w:highlight w:val="none"/>
              </w:rPr>
              <w:t>序号</w:t>
            </w:r>
          </w:p>
        </w:tc>
        <w:tc>
          <w:tcPr>
            <w:tcW w:w="14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71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126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9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162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178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42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44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olor w:val="auto"/>
                <w:kern w:val="0"/>
                <w:sz w:val="22"/>
                <w:highlight w:val="none"/>
              </w:rPr>
            </w:pPr>
          </w:p>
        </w:tc>
        <w:tc>
          <w:tcPr>
            <w:tcW w:w="7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71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22"/>
                <w:highlight w:val="none"/>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22"/>
                <w:highlight w:val="none"/>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22"/>
                <w:highlight w:val="none"/>
              </w:rPr>
            </w:pPr>
          </w:p>
        </w:tc>
        <w:tc>
          <w:tcPr>
            <w:tcW w:w="16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22"/>
                <w:highlight w:val="none"/>
              </w:rPr>
            </w:pPr>
          </w:p>
        </w:tc>
        <w:tc>
          <w:tcPr>
            <w:tcW w:w="178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黑体" w:hAnsi="宋体" w:eastAsia="黑体" w:cs="宋体"/>
                <w:color w:val="auto"/>
                <w:kern w:val="0"/>
                <w:sz w:val="22"/>
                <w:highlight w:val="none"/>
              </w:rPr>
            </w:pPr>
          </w:p>
        </w:tc>
        <w:tc>
          <w:tcPr>
            <w:tcW w:w="55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县级</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黑体" w:hAnsi="宋体" w:eastAsia="黑体" w:cs="宋体"/>
                <w:color w:val="auto"/>
                <w:kern w:val="0"/>
                <w:sz w:val="22"/>
                <w:highlight w:val="none"/>
              </w:rPr>
            </w:pPr>
            <w:r>
              <w:rPr>
                <w:rFonts w:hint="eastAsia" w:ascii="黑体" w:hAnsi="宋体" w:eastAsia="黑体" w:cs="宋体"/>
                <w:color w:val="auto"/>
                <w:kern w:val="0"/>
                <w:sz w:val="22"/>
                <w:highlight w:val="none"/>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w:t>
            </w:r>
          </w:p>
        </w:tc>
        <w:tc>
          <w:tcPr>
            <w:tcW w:w="720" w:type="dxa"/>
            <w:vMerge w:val="restart"/>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征地前期准备</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拟征收土地告知</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w:t>
            </w: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《国务院关于深化改革严格土地管理的决定》</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在实地启动拟征收土地工作时，在村公示栏公开。</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√面向拟征收土地所在地的村集体成员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720" w:type="dxa"/>
            <w:vMerge w:val="continue"/>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拟征地听证</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征地前期工作中依申请开展听证工作的，听证结果予以公开。按拟征收土地告知确定的时间制作《听证通知书》；按《听证通知书》规定的时间组织听证；实施听证的，公开听证相关材料。</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1.《听证通知书》；</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2.听证处理意见；</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《国土资源听证规定》、《国土资源部办公厅关于进一步做好市县征地信息公开工作有关问题的通知》</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①《听证通知书》应在组织听证7个工作日前予以公开；②其他听证公开内容在拟征地听证工作结束后5个工作日内在村公示栏公开。</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√面向拟征收土地所在地的村集体成员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征地组织实施</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征收土地公告</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根据用地批复文件，县（市、区）人民政府拟定征收土地公告并予以公开。</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1.征地批准机关、批准文号、批准时间和批准用途；</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2.被征收土地的所有权人、位置、地类、面积；</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3.征地补偿标准、农业人口安置方式、社会保障途径等；</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4.办理征地补偿登记的期限、地点和要求；</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rPr>
              <w:t>土地管理法》、《征收土地公告办法》</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收到征地批准文件之日起10个工作日内公开。</w:t>
            </w: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720" w:type="dxa"/>
            <w:vMerge w:val="restart"/>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征地组织实施</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征地补偿登记</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征地补偿登记汇总表。</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〔*征地补偿登记前置与征收土地现状调查合并进行的，在前置环节一并公开〕。</w:t>
            </w: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中华人民共和国</w:t>
            </w:r>
            <w:r>
              <w:rPr>
                <w:rFonts w:hint="eastAsia" w:ascii="仿宋_GB2312" w:hAnsi="仿宋_GB2312" w:eastAsia="仿宋_GB2312" w:cs="仿宋_GB2312"/>
                <w:color w:val="000000"/>
                <w:sz w:val="20"/>
                <w:szCs w:val="20"/>
              </w:rPr>
              <w:t>土地管理法》、《征收土地公告办法》</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征地补偿登记结束后5个工作日内公开。公示结束后，转为依申请公开。</w:t>
            </w: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 xml:space="preserve">村公示栏 </w:t>
            </w: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720" w:type="dxa"/>
            <w:vMerge w:val="continue"/>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征地补偿安置方案公告</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征收土地公告期满后，县（市、区）自然资源主管部门和负责农村集体土地征收的有关部门拟定《征地补偿安置方案》并予以公开。</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1.被征收土地的位置、地类、面积，地上附着物和青苗的种类、数量，需要安置的农业人口和数量； </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2.土地补偿费和安置补助费的标准、数额；</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3.地上附着物和青苗的补偿标准；</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4.社会保障费用的筹集方法、缴费比例和办法；</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.其他有关征地补偿、安置的具体措施。</w:t>
            </w: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《国土资源部办公厅关于进一步做好市县征地信息公开工作有关问题的通知》、《征收土地公告办法》。</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拟定《征地补偿安置方案》后5个工作日内公开。</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公示结束后，转为依申请公开。</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720" w:type="dxa"/>
            <w:vMerge w:val="restart"/>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征地组织实施</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征地补偿安置方案听证</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依申请开展听证工作的，听证结果公开。按征地补偿安置方案公告确定的时间制作《听证通知书》；按《听证通知书》规定的时间组织听证；实施听证的，公开听证相关材料。</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1.《听证通知书》；</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2.听证处理意见；〔*听证笔录有关资料〕。</w:t>
            </w: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《国土资源听证规定》、《国土资源部办公厅关于进一步做好市县征地信息公开工作有关问题的通知》</w:t>
            </w: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①《听证通知书》应在组织听证7个工作日前予以公开；②其他听证公开内容在征地听证结束后5个工作日内公开。公示结束后，转为依申请公开。</w:t>
            </w: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720" w:type="dxa"/>
            <w:vMerge w:val="continue"/>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征地补偿费用支付</w:t>
            </w:r>
          </w:p>
        </w:tc>
        <w:tc>
          <w:tcPr>
            <w:tcW w:w="271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征地补偿费用支付凭证。</w:t>
            </w:r>
          </w:p>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〔在被征地村公告栏张贴，予以公开，张贴之日起20个工作日后可依申请公开〕。</w:t>
            </w:r>
          </w:p>
        </w:tc>
        <w:tc>
          <w:tcPr>
            <w:tcW w:w="126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《中华人民共和国政府信息公</w:t>
            </w:r>
            <w:r>
              <w:rPr>
                <w:rFonts w:hint="eastAsia" w:ascii="仿宋_GB2312" w:hAnsi="仿宋_GB2312" w:eastAsia="仿宋_GB2312" w:cs="仿宋_GB2312"/>
                <w:color w:val="000000"/>
                <w:sz w:val="20"/>
                <w:szCs w:val="20"/>
                <w:lang w:val="en-US" w:eastAsia="zh-CN"/>
              </w:rPr>
              <w:t>开</w:t>
            </w:r>
            <w:r>
              <w:rPr>
                <w:rFonts w:hint="default" w:ascii="仿宋_GB2312" w:hAnsi="仿宋_GB2312" w:eastAsia="仿宋_GB2312" w:cs="仿宋_GB2312"/>
                <w:color w:val="000000"/>
                <w:sz w:val="20"/>
                <w:szCs w:val="20"/>
                <w:lang w:val="en-US" w:eastAsia="zh-CN"/>
              </w:rPr>
              <w:t>条例》</w:t>
            </w:r>
            <w:r>
              <w:rPr>
                <w:rFonts w:hint="eastAsia" w:ascii="仿宋_GB2312" w:hAnsi="仿宋_GB2312" w:eastAsia="仿宋_GB2312" w:cs="仿宋_GB2312"/>
                <w:color w:val="000000"/>
                <w:sz w:val="20"/>
                <w:szCs w:val="20"/>
              </w:rPr>
              <w:t>、《征收土地公告办法》</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98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获得支付凭证后5个工作日内予以公开。公示结束后，转为依申请公开。</w:t>
            </w:r>
          </w:p>
        </w:tc>
        <w:tc>
          <w:tcPr>
            <w:tcW w:w="16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786"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征地</w:t>
            </w:r>
            <w:r>
              <w:rPr>
                <w:rFonts w:hint="eastAsia" w:ascii="仿宋_GB2312" w:hAnsi="仿宋_GB2312" w:eastAsia="仿宋_GB2312" w:cs="仿宋_GB2312"/>
                <w:color w:val="000000"/>
                <w:sz w:val="20"/>
                <w:szCs w:val="20"/>
              </w:rPr>
              <w:t>村公示栏</w:t>
            </w:r>
          </w:p>
        </w:tc>
        <w:tc>
          <w:tcPr>
            <w:tcW w:w="554"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75"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√拟征收土地所在地的村集体成员</w:t>
            </w:r>
          </w:p>
        </w:tc>
        <w:tc>
          <w:tcPr>
            <w:tcW w:w="551"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720" w:type="dxa"/>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r>
    </w:tbl>
    <w:p>
      <w:pPr>
        <w:widowControl/>
        <w:spacing w:line="240" w:lineRule="atLeast"/>
        <w:jc w:val="center"/>
        <w:textAlignment w:val="center"/>
        <w:rPr>
          <w:rFonts w:hint="eastAsia" w:ascii="仿宋_GB2312" w:hAnsi="仿宋_GB2312" w:eastAsia="仿宋_GB2312" w:cs="仿宋_GB2312"/>
          <w:color w:val="000000"/>
          <w:sz w:val="20"/>
          <w:szCs w:val="20"/>
        </w:rPr>
      </w:pPr>
    </w:p>
    <w:p>
      <w:pPr>
        <w:pStyle w:val="2"/>
        <w:jc w:val="cente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pStyle w:val="2"/>
        <w:jc w:val="center"/>
        <w:rPr>
          <w:rFonts w:hint="eastAsia" w:ascii="仿宋" w:hAnsi="仿宋" w:eastAsia="仿宋" w:cs="仿宋"/>
          <w:sz w:val="32"/>
          <w:szCs w:val="32"/>
        </w:rPr>
      </w:pPr>
      <w:bookmarkStart w:id="3" w:name="_Toc24724717"/>
      <w:r>
        <w:rPr>
          <w:rFonts w:hint="eastAsia" w:ascii="仿宋" w:hAnsi="仿宋" w:eastAsia="仿宋" w:cs="仿宋"/>
          <w:sz w:val="32"/>
          <w:szCs w:val="32"/>
          <w:lang w:eastAsia="zh-CN"/>
        </w:rPr>
        <w:t>（七）</w:t>
      </w:r>
      <w:r>
        <w:rPr>
          <w:rFonts w:hint="eastAsia" w:ascii="仿宋" w:hAnsi="仿宋" w:eastAsia="仿宋" w:cs="仿宋"/>
          <w:sz w:val="32"/>
          <w:szCs w:val="32"/>
        </w:rPr>
        <w:t>保障性住房领域基层政务公开标准目录</w:t>
      </w:r>
      <w:bookmarkEnd w:id="3"/>
    </w:p>
    <w:tbl>
      <w:tblPr>
        <w:tblStyle w:val="6"/>
        <w:tblpPr w:leftFromText="180" w:rightFromText="180" w:vertAnchor="text" w:horzAnchor="page" w:tblpX="1045" w:tblpY="489"/>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5"/>
        <w:gridCol w:w="1095"/>
        <w:gridCol w:w="1310"/>
        <w:gridCol w:w="1390"/>
        <w:gridCol w:w="1560"/>
        <w:gridCol w:w="1215"/>
        <w:gridCol w:w="1215"/>
        <w:gridCol w:w="1140"/>
        <w:gridCol w:w="765"/>
        <w:gridCol w:w="870"/>
        <w:gridCol w:w="1050"/>
        <w:gridCol w:w="1140"/>
        <w:gridCol w:w="840"/>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1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县级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配给管理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保障性住房申请受理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申请受理公告；</w:t>
            </w:r>
            <w:r>
              <w:rPr>
                <w:rFonts w:hint="eastAsia" w:ascii="仿宋_GB2312" w:hAnsi="仿宋_GB2312" w:eastAsia="仿宋_GB2312" w:cs="仿宋_GB2312"/>
                <w:color w:val="000000"/>
                <w:sz w:val="20"/>
                <w:szCs w:val="20"/>
                <w:lang w:val="en-US" w:eastAsia="zh-CN"/>
              </w:rPr>
              <w:br w:type="textWrapping"/>
            </w:r>
            <w:r>
              <w:rPr>
                <w:rFonts w:hint="eastAsia" w:ascii="仿宋_GB2312" w:hAnsi="仿宋_GB2312" w:eastAsia="仿宋_GB2312" w:cs="仿宋_GB2312"/>
                <w:color w:val="000000"/>
                <w:sz w:val="20"/>
                <w:szCs w:val="20"/>
                <w:lang w:val="en-US" w:eastAsia="zh-CN"/>
              </w:rPr>
              <w:t>申请条件、程序、期限和所需材料；</w:t>
            </w:r>
            <w:r>
              <w:rPr>
                <w:rFonts w:hint="eastAsia" w:ascii="仿宋_GB2312" w:hAnsi="仿宋_GB2312" w:eastAsia="仿宋_GB2312" w:cs="仿宋_GB2312"/>
                <w:color w:val="000000"/>
                <w:sz w:val="20"/>
                <w:szCs w:val="20"/>
                <w:lang w:val="en-US" w:eastAsia="zh-CN"/>
              </w:rPr>
              <w:br w:type="textWrapping"/>
            </w:r>
            <w:r>
              <w:rPr>
                <w:rFonts w:hint="eastAsia" w:ascii="仿宋_GB2312" w:hAnsi="仿宋_GB2312" w:eastAsia="仿宋_GB2312" w:cs="仿宋_GB2312"/>
                <w:color w:val="000000"/>
                <w:sz w:val="20"/>
                <w:szCs w:val="20"/>
                <w:lang w:val="en-US" w:eastAsia="zh-CN"/>
              </w:rPr>
              <w:t>租赁补贴发放计划。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 xml:space="preserve">《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信息形成（变更）20个工作日内</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广州市花都区花山镇人民政府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公租房承租资格审核</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申请受理；</w:t>
            </w:r>
            <w:r>
              <w:rPr>
                <w:rFonts w:hint="eastAsia" w:ascii="仿宋_GB2312" w:hAnsi="仿宋_GB2312" w:eastAsia="仿宋_GB2312" w:cs="仿宋_GB2312"/>
                <w:color w:val="000000"/>
                <w:sz w:val="20"/>
                <w:szCs w:val="20"/>
                <w:lang w:val="en-US" w:eastAsia="zh-CN"/>
              </w:rPr>
              <w:br w:type="textWrapping"/>
            </w:r>
            <w:r>
              <w:rPr>
                <w:rFonts w:hint="eastAsia" w:ascii="仿宋_GB2312" w:hAnsi="仿宋_GB2312" w:eastAsia="仿宋_GB2312" w:cs="仿宋_GB2312"/>
                <w:color w:val="000000"/>
                <w:sz w:val="20"/>
                <w:szCs w:val="20"/>
                <w:lang w:val="en-US" w:eastAsia="zh-CN"/>
              </w:rPr>
              <w:t>审核结果：申请对象姓名、身份证号(隐藏部分号码)、申请房源类型；</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广州市花都区花山镇</w:t>
            </w:r>
            <w:r>
              <w:rPr>
                <w:rFonts w:hint="eastAsia" w:ascii="仿宋_GB2312" w:hAnsi="仿宋_GB2312" w:eastAsia="仿宋_GB2312" w:cs="仿宋_GB2312"/>
                <w:color w:val="000000"/>
                <w:sz w:val="20"/>
                <w:szCs w:val="20"/>
              </w:rPr>
              <w:t xml:space="preserve">政务服务中心  </w:t>
            </w:r>
          </w:p>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p>
        </w:tc>
      </w:tr>
    </w:tbl>
    <w:p>
      <w:pPr>
        <w:widowControl/>
        <w:spacing w:line="240" w:lineRule="atLeast"/>
        <w:jc w:val="center"/>
        <w:textAlignment w:val="center"/>
        <w:rPr>
          <w:rFonts w:hint="eastAsia" w:ascii="仿宋_GB2312" w:hAnsi="仿宋_GB2312" w:eastAsia="仿宋_GB2312" w:cs="仿宋_GB2312"/>
          <w:color w:val="000000"/>
          <w:sz w:val="20"/>
          <w:szCs w:val="20"/>
        </w:rPr>
      </w:pPr>
    </w:p>
    <w:sectPr>
      <w:footerReference r:id="rId5" w:type="default"/>
      <w:pgSz w:w="16838" w:h="11906" w:orient="landscape"/>
      <w:pgMar w:top="1304" w:right="1304" w:bottom="1304" w:left="130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wdEDz9kBAAC9AwAADgAAAAAAAAABACAA&#10;AAAeAQAAZHJzL2Uyb0RvYy54bWxQSwUGAAAAAAYABgBZAQAAaQU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AA"/>
    <w:rsid w:val="00086496"/>
    <w:rsid w:val="00312D3F"/>
    <w:rsid w:val="005E3DFC"/>
    <w:rsid w:val="00717932"/>
    <w:rsid w:val="00765A97"/>
    <w:rsid w:val="008B2C4E"/>
    <w:rsid w:val="008D19F9"/>
    <w:rsid w:val="008E79A7"/>
    <w:rsid w:val="00991241"/>
    <w:rsid w:val="009A49FB"/>
    <w:rsid w:val="009E3BAA"/>
    <w:rsid w:val="00B367E3"/>
    <w:rsid w:val="00BD7AEC"/>
    <w:rsid w:val="00C14773"/>
    <w:rsid w:val="00CB2512"/>
    <w:rsid w:val="00EE180C"/>
    <w:rsid w:val="00EF60D1"/>
    <w:rsid w:val="00FB2101"/>
    <w:rsid w:val="013128E1"/>
    <w:rsid w:val="019E0CC7"/>
    <w:rsid w:val="01E03DF5"/>
    <w:rsid w:val="02100979"/>
    <w:rsid w:val="024F5144"/>
    <w:rsid w:val="027018A9"/>
    <w:rsid w:val="02EF3F51"/>
    <w:rsid w:val="02F009F7"/>
    <w:rsid w:val="033819D5"/>
    <w:rsid w:val="03B22043"/>
    <w:rsid w:val="03C62729"/>
    <w:rsid w:val="03D5783A"/>
    <w:rsid w:val="047119CE"/>
    <w:rsid w:val="04825304"/>
    <w:rsid w:val="04E562A6"/>
    <w:rsid w:val="05167A32"/>
    <w:rsid w:val="056B377B"/>
    <w:rsid w:val="06225D2D"/>
    <w:rsid w:val="06D2761F"/>
    <w:rsid w:val="074557A6"/>
    <w:rsid w:val="07962EFD"/>
    <w:rsid w:val="07AE5CC7"/>
    <w:rsid w:val="07AE7B4E"/>
    <w:rsid w:val="0803749A"/>
    <w:rsid w:val="08EE3873"/>
    <w:rsid w:val="093066DB"/>
    <w:rsid w:val="09316CD1"/>
    <w:rsid w:val="099039AC"/>
    <w:rsid w:val="09FB3E15"/>
    <w:rsid w:val="0A1A7E01"/>
    <w:rsid w:val="0AEE0BAE"/>
    <w:rsid w:val="0C0321BC"/>
    <w:rsid w:val="0CAF20C1"/>
    <w:rsid w:val="0D203B79"/>
    <w:rsid w:val="0D483A44"/>
    <w:rsid w:val="0D9F6A69"/>
    <w:rsid w:val="0DFD72D3"/>
    <w:rsid w:val="0E846C8A"/>
    <w:rsid w:val="0EC174C7"/>
    <w:rsid w:val="0F0F3909"/>
    <w:rsid w:val="0F295A80"/>
    <w:rsid w:val="0F392891"/>
    <w:rsid w:val="0FCB178A"/>
    <w:rsid w:val="0FD117DC"/>
    <w:rsid w:val="0FFD5CD1"/>
    <w:rsid w:val="10052BF3"/>
    <w:rsid w:val="100729E6"/>
    <w:rsid w:val="103E3616"/>
    <w:rsid w:val="10472587"/>
    <w:rsid w:val="105A2C3E"/>
    <w:rsid w:val="11610B5A"/>
    <w:rsid w:val="11742381"/>
    <w:rsid w:val="11A53726"/>
    <w:rsid w:val="11FA7B83"/>
    <w:rsid w:val="121754E9"/>
    <w:rsid w:val="123A5F36"/>
    <w:rsid w:val="12D14477"/>
    <w:rsid w:val="12DC0AF7"/>
    <w:rsid w:val="13265D92"/>
    <w:rsid w:val="13695E37"/>
    <w:rsid w:val="13840A06"/>
    <w:rsid w:val="13CD55D7"/>
    <w:rsid w:val="14FB7D01"/>
    <w:rsid w:val="15672E86"/>
    <w:rsid w:val="15BA0B38"/>
    <w:rsid w:val="15CE2CB1"/>
    <w:rsid w:val="160F4C9E"/>
    <w:rsid w:val="16261EF4"/>
    <w:rsid w:val="16785254"/>
    <w:rsid w:val="16BD6AF4"/>
    <w:rsid w:val="16CD7C49"/>
    <w:rsid w:val="16D20ABB"/>
    <w:rsid w:val="17995204"/>
    <w:rsid w:val="185B4FF9"/>
    <w:rsid w:val="18BB1DEE"/>
    <w:rsid w:val="193F1353"/>
    <w:rsid w:val="199C206D"/>
    <w:rsid w:val="19BC6520"/>
    <w:rsid w:val="1A291544"/>
    <w:rsid w:val="1ACA6ECE"/>
    <w:rsid w:val="1B10030A"/>
    <w:rsid w:val="1B48403A"/>
    <w:rsid w:val="1B72290F"/>
    <w:rsid w:val="1BE757FD"/>
    <w:rsid w:val="1BFA40A5"/>
    <w:rsid w:val="1C4D79CB"/>
    <w:rsid w:val="1C9E4D3E"/>
    <w:rsid w:val="1CE74219"/>
    <w:rsid w:val="1D0F644E"/>
    <w:rsid w:val="1D637DB2"/>
    <w:rsid w:val="1DC91CDA"/>
    <w:rsid w:val="1DF2477D"/>
    <w:rsid w:val="1E334F86"/>
    <w:rsid w:val="1E673A37"/>
    <w:rsid w:val="1E6E1C25"/>
    <w:rsid w:val="1E7F1C40"/>
    <w:rsid w:val="1E9878C0"/>
    <w:rsid w:val="1F177331"/>
    <w:rsid w:val="1F3A5F93"/>
    <w:rsid w:val="1F6F5D3D"/>
    <w:rsid w:val="1F8A6D20"/>
    <w:rsid w:val="1FCB7E46"/>
    <w:rsid w:val="20677479"/>
    <w:rsid w:val="20942B66"/>
    <w:rsid w:val="216E60C7"/>
    <w:rsid w:val="21B562CD"/>
    <w:rsid w:val="21DC7CAC"/>
    <w:rsid w:val="220D03F2"/>
    <w:rsid w:val="225B1E18"/>
    <w:rsid w:val="22AB041F"/>
    <w:rsid w:val="22B22559"/>
    <w:rsid w:val="22BB402E"/>
    <w:rsid w:val="244F2A71"/>
    <w:rsid w:val="24653D8A"/>
    <w:rsid w:val="2538152E"/>
    <w:rsid w:val="25AE7DD5"/>
    <w:rsid w:val="26016647"/>
    <w:rsid w:val="27252986"/>
    <w:rsid w:val="27D55FE2"/>
    <w:rsid w:val="27E87760"/>
    <w:rsid w:val="27F22EC7"/>
    <w:rsid w:val="28045331"/>
    <w:rsid w:val="28443A42"/>
    <w:rsid w:val="288320E5"/>
    <w:rsid w:val="2A572652"/>
    <w:rsid w:val="2A83500C"/>
    <w:rsid w:val="2ABB3F90"/>
    <w:rsid w:val="2ABE2A02"/>
    <w:rsid w:val="2AFA246E"/>
    <w:rsid w:val="2B0D2C83"/>
    <w:rsid w:val="2B0D58F5"/>
    <w:rsid w:val="2C24437A"/>
    <w:rsid w:val="2C2629C8"/>
    <w:rsid w:val="2C560232"/>
    <w:rsid w:val="2CEF0205"/>
    <w:rsid w:val="2D01181F"/>
    <w:rsid w:val="2D18334B"/>
    <w:rsid w:val="2DCF284A"/>
    <w:rsid w:val="2E6B54BA"/>
    <w:rsid w:val="2EC011E9"/>
    <w:rsid w:val="2F0B51E0"/>
    <w:rsid w:val="2F127B85"/>
    <w:rsid w:val="2F754846"/>
    <w:rsid w:val="30465628"/>
    <w:rsid w:val="31386C79"/>
    <w:rsid w:val="31A2522E"/>
    <w:rsid w:val="31BA4C8D"/>
    <w:rsid w:val="32744CCB"/>
    <w:rsid w:val="32885F63"/>
    <w:rsid w:val="328D4C10"/>
    <w:rsid w:val="32A45D02"/>
    <w:rsid w:val="32B57A0F"/>
    <w:rsid w:val="335573A2"/>
    <w:rsid w:val="33690196"/>
    <w:rsid w:val="33F0610D"/>
    <w:rsid w:val="34251106"/>
    <w:rsid w:val="34695D56"/>
    <w:rsid w:val="34F81B69"/>
    <w:rsid w:val="35F17281"/>
    <w:rsid w:val="35FD61BA"/>
    <w:rsid w:val="36611BA6"/>
    <w:rsid w:val="36D242FB"/>
    <w:rsid w:val="36DE7D29"/>
    <w:rsid w:val="371819EA"/>
    <w:rsid w:val="3789316F"/>
    <w:rsid w:val="39E51BD4"/>
    <w:rsid w:val="3A4F486B"/>
    <w:rsid w:val="3A565A79"/>
    <w:rsid w:val="3A5F2385"/>
    <w:rsid w:val="3A7066D6"/>
    <w:rsid w:val="3A942E86"/>
    <w:rsid w:val="3A9C18CC"/>
    <w:rsid w:val="3AA368D6"/>
    <w:rsid w:val="3AF75053"/>
    <w:rsid w:val="3C0013CE"/>
    <w:rsid w:val="3C0113D2"/>
    <w:rsid w:val="3C16243A"/>
    <w:rsid w:val="3C40377B"/>
    <w:rsid w:val="3C9F197D"/>
    <w:rsid w:val="3CBC3E93"/>
    <w:rsid w:val="3CFD39C7"/>
    <w:rsid w:val="3D937FF4"/>
    <w:rsid w:val="3D9E796F"/>
    <w:rsid w:val="3DA448DA"/>
    <w:rsid w:val="3DCB311D"/>
    <w:rsid w:val="3DE93C85"/>
    <w:rsid w:val="3ECF223D"/>
    <w:rsid w:val="3EDC799D"/>
    <w:rsid w:val="3EEE5356"/>
    <w:rsid w:val="3F241014"/>
    <w:rsid w:val="3F852FB2"/>
    <w:rsid w:val="3F941081"/>
    <w:rsid w:val="3FBB3A03"/>
    <w:rsid w:val="3FC2561A"/>
    <w:rsid w:val="40292B4D"/>
    <w:rsid w:val="40746B2C"/>
    <w:rsid w:val="41057DAE"/>
    <w:rsid w:val="416A3CA3"/>
    <w:rsid w:val="42C53328"/>
    <w:rsid w:val="433E2E88"/>
    <w:rsid w:val="43B83F03"/>
    <w:rsid w:val="43E61554"/>
    <w:rsid w:val="44652CB3"/>
    <w:rsid w:val="446C0ABB"/>
    <w:rsid w:val="447B2236"/>
    <w:rsid w:val="44995F38"/>
    <w:rsid w:val="453219AF"/>
    <w:rsid w:val="45571BA6"/>
    <w:rsid w:val="45AA15D0"/>
    <w:rsid w:val="45B5101F"/>
    <w:rsid w:val="45F87705"/>
    <w:rsid w:val="46053B4B"/>
    <w:rsid w:val="46522EDA"/>
    <w:rsid w:val="465B77DD"/>
    <w:rsid w:val="47132F32"/>
    <w:rsid w:val="475B6F81"/>
    <w:rsid w:val="4769314B"/>
    <w:rsid w:val="47772485"/>
    <w:rsid w:val="477A2B62"/>
    <w:rsid w:val="47853C56"/>
    <w:rsid w:val="491D7902"/>
    <w:rsid w:val="49220932"/>
    <w:rsid w:val="49AF5834"/>
    <w:rsid w:val="4A106E8E"/>
    <w:rsid w:val="4A5721EA"/>
    <w:rsid w:val="4A8A5DB1"/>
    <w:rsid w:val="4A8F05DD"/>
    <w:rsid w:val="4ABB4BFB"/>
    <w:rsid w:val="4B574FFD"/>
    <w:rsid w:val="4B795250"/>
    <w:rsid w:val="4BCF5586"/>
    <w:rsid w:val="4BDB19C4"/>
    <w:rsid w:val="4C123F0D"/>
    <w:rsid w:val="4CB62C4D"/>
    <w:rsid w:val="4D0120B8"/>
    <w:rsid w:val="4D053F1A"/>
    <w:rsid w:val="4D110F76"/>
    <w:rsid w:val="4D6B5438"/>
    <w:rsid w:val="4EBD07E2"/>
    <w:rsid w:val="4FBC4334"/>
    <w:rsid w:val="4FC3573D"/>
    <w:rsid w:val="505A7D02"/>
    <w:rsid w:val="507F4A26"/>
    <w:rsid w:val="51006908"/>
    <w:rsid w:val="5169327F"/>
    <w:rsid w:val="51E934E3"/>
    <w:rsid w:val="5241229D"/>
    <w:rsid w:val="52C12A1C"/>
    <w:rsid w:val="52E576BF"/>
    <w:rsid w:val="53046CDF"/>
    <w:rsid w:val="53171D00"/>
    <w:rsid w:val="537A3BA6"/>
    <w:rsid w:val="53EF3007"/>
    <w:rsid w:val="542505A7"/>
    <w:rsid w:val="54BC5FD9"/>
    <w:rsid w:val="54E107E8"/>
    <w:rsid w:val="550C3F04"/>
    <w:rsid w:val="557609AF"/>
    <w:rsid w:val="55B16A17"/>
    <w:rsid w:val="55BA18FB"/>
    <w:rsid w:val="560E657B"/>
    <w:rsid w:val="56427F64"/>
    <w:rsid w:val="566F48D0"/>
    <w:rsid w:val="58646FD3"/>
    <w:rsid w:val="58DB082B"/>
    <w:rsid w:val="58F25461"/>
    <w:rsid w:val="59CA6027"/>
    <w:rsid w:val="5A131379"/>
    <w:rsid w:val="5A571043"/>
    <w:rsid w:val="5A7C6A95"/>
    <w:rsid w:val="5B2F50D9"/>
    <w:rsid w:val="5B381703"/>
    <w:rsid w:val="5B7C7990"/>
    <w:rsid w:val="5BA22A90"/>
    <w:rsid w:val="5C545B19"/>
    <w:rsid w:val="5C9563F9"/>
    <w:rsid w:val="5CA422B7"/>
    <w:rsid w:val="5CAA19CE"/>
    <w:rsid w:val="5D7C6FEB"/>
    <w:rsid w:val="5DA807BC"/>
    <w:rsid w:val="5DE238D4"/>
    <w:rsid w:val="5DEE5478"/>
    <w:rsid w:val="5E202DA9"/>
    <w:rsid w:val="5E3F6FBD"/>
    <w:rsid w:val="5EAB5BE0"/>
    <w:rsid w:val="5EC07E71"/>
    <w:rsid w:val="5EF9588F"/>
    <w:rsid w:val="5F222CF0"/>
    <w:rsid w:val="5F372927"/>
    <w:rsid w:val="5F9B3152"/>
    <w:rsid w:val="5F9D351C"/>
    <w:rsid w:val="5FE767D2"/>
    <w:rsid w:val="60072345"/>
    <w:rsid w:val="60A22E7F"/>
    <w:rsid w:val="60A94219"/>
    <w:rsid w:val="60C11D83"/>
    <w:rsid w:val="60D6798D"/>
    <w:rsid w:val="6140328B"/>
    <w:rsid w:val="61451B9A"/>
    <w:rsid w:val="61976306"/>
    <w:rsid w:val="619826CC"/>
    <w:rsid w:val="61B63AAF"/>
    <w:rsid w:val="61F45105"/>
    <w:rsid w:val="628C6AB9"/>
    <w:rsid w:val="63BA3955"/>
    <w:rsid w:val="63EA7F77"/>
    <w:rsid w:val="64346FA4"/>
    <w:rsid w:val="64481D02"/>
    <w:rsid w:val="64D65820"/>
    <w:rsid w:val="651101D8"/>
    <w:rsid w:val="65BB12BF"/>
    <w:rsid w:val="65E05808"/>
    <w:rsid w:val="661C69F1"/>
    <w:rsid w:val="661F03E3"/>
    <w:rsid w:val="663F0B9C"/>
    <w:rsid w:val="66776653"/>
    <w:rsid w:val="67382DC2"/>
    <w:rsid w:val="6769207C"/>
    <w:rsid w:val="682905A4"/>
    <w:rsid w:val="68977472"/>
    <w:rsid w:val="68E13E1C"/>
    <w:rsid w:val="6937293E"/>
    <w:rsid w:val="69CF2E3D"/>
    <w:rsid w:val="6A135B7F"/>
    <w:rsid w:val="6A184167"/>
    <w:rsid w:val="6A185FC1"/>
    <w:rsid w:val="6A455610"/>
    <w:rsid w:val="6B4B3BCD"/>
    <w:rsid w:val="6B517D55"/>
    <w:rsid w:val="6B920D6B"/>
    <w:rsid w:val="6BB76221"/>
    <w:rsid w:val="6BCC6746"/>
    <w:rsid w:val="6BCD4261"/>
    <w:rsid w:val="6BCD66FB"/>
    <w:rsid w:val="6BE934F6"/>
    <w:rsid w:val="6C193A86"/>
    <w:rsid w:val="6C331849"/>
    <w:rsid w:val="6C5331A1"/>
    <w:rsid w:val="6C7D7F45"/>
    <w:rsid w:val="6CDA0C05"/>
    <w:rsid w:val="6D362E31"/>
    <w:rsid w:val="6D671DB9"/>
    <w:rsid w:val="6DCF7590"/>
    <w:rsid w:val="6E201704"/>
    <w:rsid w:val="6F700F17"/>
    <w:rsid w:val="6F744248"/>
    <w:rsid w:val="6FB126D0"/>
    <w:rsid w:val="6FE73679"/>
    <w:rsid w:val="70625B68"/>
    <w:rsid w:val="70955BA8"/>
    <w:rsid w:val="70BB0D2B"/>
    <w:rsid w:val="7163602F"/>
    <w:rsid w:val="71C01310"/>
    <w:rsid w:val="71E4047A"/>
    <w:rsid w:val="71F65095"/>
    <w:rsid w:val="72520F4E"/>
    <w:rsid w:val="725342CA"/>
    <w:rsid w:val="730E374A"/>
    <w:rsid w:val="732501A4"/>
    <w:rsid w:val="73452AE6"/>
    <w:rsid w:val="7361149E"/>
    <w:rsid w:val="73B44149"/>
    <w:rsid w:val="73E4380C"/>
    <w:rsid w:val="74520482"/>
    <w:rsid w:val="7465359A"/>
    <w:rsid w:val="74996240"/>
    <w:rsid w:val="74D67271"/>
    <w:rsid w:val="74F31F48"/>
    <w:rsid w:val="74FF7FF6"/>
    <w:rsid w:val="750D37C3"/>
    <w:rsid w:val="75182CF8"/>
    <w:rsid w:val="752A1B5D"/>
    <w:rsid w:val="752C5F7C"/>
    <w:rsid w:val="75A571CD"/>
    <w:rsid w:val="75B35D5A"/>
    <w:rsid w:val="75DE133F"/>
    <w:rsid w:val="7627758E"/>
    <w:rsid w:val="76AA449E"/>
    <w:rsid w:val="7703403C"/>
    <w:rsid w:val="770340E8"/>
    <w:rsid w:val="77310D4E"/>
    <w:rsid w:val="77411E11"/>
    <w:rsid w:val="783678E6"/>
    <w:rsid w:val="78B31650"/>
    <w:rsid w:val="79160D81"/>
    <w:rsid w:val="79CB2CA0"/>
    <w:rsid w:val="79D744BB"/>
    <w:rsid w:val="7A033692"/>
    <w:rsid w:val="7A4F7303"/>
    <w:rsid w:val="7AEC7106"/>
    <w:rsid w:val="7B0A51ED"/>
    <w:rsid w:val="7BCE257F"/>
    <w:rsid w:val="7C8C4E67"/>
    <w:rsid w:val="7D724F7D"/>
    <w:rsid w:val="7DBF5581"/>
    <w:rsid w:val="7DE21A91"/>
    <w:rsid w:val="7E5041A5"/>
    <w:rsid w:val="7ECA312D"/>
    <w:rsid w:val="7F0A6DDD"/>
    <w:rsid w:val="7F2C0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9"/>
    <w:qFormat/>
    <w:uiPriority w:val="99"/>
    <w:pPr>
      <w:keepNext/>
      <w:keepLines/>
      <w:spacing w:before="340" w:after="330" w:line="576"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4760"/>
      </w:tabs>
      <w:spacing w:line="700" w:lineRule="exact"/>
      <w:ind w:left="359" w:leftChars="171" w:right="332" w:rightChars="158"/>
    </w:pPr>
  </w:style>
  <w:style w:type="character" w:styleId="8">
    <w:name w:val="Hyperlink"/>
    <w:basedOn w:val="7"/>
    <w:unhideWhenUsed/>
    <w:qFormat/>
    <w:uiPriority w:val="99"/>
    <w:rPr>
      <w:color w:val="0000FF"/>
      <w:u w:val="single"/>
    </w:rPr>
  </w:style>
  <w:style w:type="character" w:customStyle="1" w:styleId="9">
    <w:name w:val="标题 1 Char"/>
    <w:basedOn w:val="7"/>
    <w:link w:val="2"/>
    <w:qFormat/>
    <w:uiPriority w:val="99"/>
    <w:rPr>
      <w:rFonts w:ascii="Calibri" w:hAnsi="Calibri" w:eastAsia="宋体" w:cs="宋体"/>
      <w:b/>
      <w:bCs/>
      <w:kern w:val="44"/>
      <w:sz w:val="44"/>
      <w:szCs w:val="44"/>
    </w:rPr>
  </w:style>
  <w:style w:type="character" w:customStyle="1" w:styleId="10">
    <w:name w:val="页眉 Char"/>
    <w:basedOn w:val="7"/>
    <w:link w:val="4"/>
    <w:semiHidden/>
    <w:qFormat/>
    <w:uiPriority w:val="99"/>
    <w:rPr>
      <w:rFonts w:ascii="Calibri" w:hAnsi="Calibri" w:cs="宋体"/>
      <w:kern w:val="2"/>
      <w:sz w:val="18"/>
      <w:szCs w:val="18"/>
    </w:rPr>
  </w:style>
  <w:style w:type="character" w:customStyle="1" w:styleId="11">
    <w:name w:val="页脚 Char"/>
    <w:basedOn w:val="7"/>
    <w:link w:val="3"/>
    <w:semiHidden/>
    <w:qFormat/>
    <w:uiPriority w:val="99"/>
    <w:rPr>
      <w:rFonts w:ascii="Calibri" w:hAnsi="Calibri" w:cs="宋体"/>
      <w:kern w:val="2"/>
      <w:sz w:val="18"/>
      <w:szCs w:val="18"/>
    </w:rPr>
  </w:style>
  <w:style w:type="character" w:customStyle="1" w:styleId="12">
    <w:name w:val="lemmawgt-lemmatitle-title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4087</Words>
  <Characters>23297</Characters>
  <Lines>194</Lines>
  <Paragraphs>54</Paragraphs>
  <TotalTime>5</TotalTime>
  <ScaleCrop>false</ScaleCrop>
  <LinksUpToDate>false</LinksUpToDate>
  <CharactersWithSpaces>27330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2020-10-20T02:30:00Z</dcterms:created>
  <dc:creator>NTKO</dc:creator>
  <cp:lastModifiedBy>elink</cp:lastModifiedBy>
  <cp:lastPrinted>2020-10-20T07:21:00Z</cp:lastPrinted>
  <dcterms:modified xsi:type="dcterms:W3CDTF">2022-10-26T06:15:30Z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