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8F" w:rsidRDefault="00E31860">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广州市花都自来水有限公司水表</w:t>
      </w:r>
    </w:p>
    <w:p w:rsidR="0051668F" w:rsidRDefault="00E31860">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安装指引</w:t>
      </w:r>
    </w:p>
    <w:p w:rsidR="0051668F" w:rsidRDefault="0051668F">
      <w:pPr>
        <w:spacing w:line="360" w:lineRule="auto"/>
        <w:rPr>
          <w:rFonts w:ascii="仿宋" w:eastAsia="仿宋" w:hAnsi="仿宋" w:cs="仿宋"/>
          <w:sz w:val="32"/>
          <w:szCs w:val="32"/>
        </w:rPr>
      </w:pPr>
    </w:p>
    <w:p w:rsidR="0051668F" w:rsidRDefault="00E31860">
      <w:pPr>
        <w:tabs>
          <w:tab w:val="left" w:pos="1605"/>
        </w:tabs>
        <w:spacing w:line="360" w:lineRule="auto"/>
        <w:jc w:val="center"/>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总则</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编制目的</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为进一步</w:t>
      </w:r>
      <w:r>
        <w:rPr>
          <w:rFonts w:ascii="仿宋" w:eastAsia="仿宋" w:hAnsi="仿宋" w:cs="仿宋" w:hint="eastAsia"/>
          <w:sz w:val="32"/>
          <w:szCs w:val="32"/>
        </w:rPr>
        <w:t>规范水表计量器具</w:t>
      </w:r>
      <w:r>
        <w:rPr>
          <w:rFonts w:ascii="仿宋" w:eastAsia="仿宋" w:hAnsi="仿宋" w:cs="仿宋" w:hint="eastAsia"/>
          <w:sz w:val="32"/>
          <w:szCs w:val="32"/>
        </w:rPr>
        <w:t>的设置及安装，明确</w:t>
      </w:r>
      <w:r>
        <w:rPr>
          <w:rFonts w:ascii="仿宋" w:eastAsia="仿宋" w:hAnsi="仿宋" w:cs="仿宋" w:hint="eastAsia"/>
          <w:sz w:val="32"/>
          <w:szCs w:val="32"/>
        </w:rPr>
        <w:t>水表</w:t>
      </w:r>
      <w:r>
        <w:rPr>
          <w:rFonts w:ascii="仿宋" w:eastAsia="仿宋" w:hAnsi="仿宋" w:cs="仿宋" w:hint="eastAsia"/>
          <w:sz w:val="32"/>
          <w:szCs w:val="32"/>
        </w:rPr>
        <w:t>在设计和安装的依据</w:t>
      </w:r>
      <w:r>
        <w:rPr>
          <w:rFonts w:ascii="仿宋" w:eastAsia="仿宋" w:hAnsi="仿宋" w:cs="仿宋" w:hint="eastAsia"/>
          <w:sz w:val="32"/>
          <w:szCs w:val="32"/>
        </w:rPr>
        <w:t>，</w:t>
      </w:r>
      <w:r>
        <w:rPr>
          <w:rFonts w:ascii="仿宋" w:eastAsia="仿宋" w:hAnsi="仿宋" w:cs="仿宋" w:hint="eastAsia"/>
          <w:sz w:val="32"/>
          <w:szCs w:val="32"/>
        </w:rPr>
        <w:t>便于</w:t>
      </w:r>
      <w:r>
        <w:rPr>
          <w:rFonts w:ascii="仿宋" w:eastAsia="仿宋" w:hAnsi="仿宋" w:cs="仿宋" w:hint="eastAsia"/>
          <w:sz w:val="32"/>
          <w:szCs w:val="32"/>
        </w:rPr>
        <w:t>水表</w:t>
      </w:r>
      <w:r>
        <w:rPr>
          <w:rFonts w:ascii="仿宋" w:eastAsia="仿宋" w:hAnsi="仿宋" w:cs="仿宋" w:hint="eastAsia"/>
          <w:sz w:val="32"/>
          <w:szCs w:val="32"/>
        </w:rPr>
        <w:t>日后的维护管理</w:t>
      </w:r>
      <w:r>
        <w:rPr>
          <w:rFonts w:ascii="仿宋" w:eastAsia="仿宋" w:hAnsi="仿宋" w:cs="仿宋" w:hint="eastAsia"/>
          <w:sz w:val="32"/>
          <w:szCs w:val="32"/>
        </w:rPr>
        <w:t>，</w:t>
      </w:r>
      <w:r>
        <w:rPr>
          <w:rFonts w:ascii="仿宋" w:eastAsia="仿宋" w:hAnsi="仿宋" w:cs="仿宋" w:hint="eastAsia"/>
          <w:sz w:val="32"/>
          <w:szCs w:val="32"/>
        </w:rPr>
        <w:t>提高</w:t>
      </w:r>
      <w:r>
        <w:rPr>
          <w:rFonts w:ascii="仿宋" w:eastAsia="仿宋" w:hAnsi="仿宋" w:cs="仿宋" w:hint="eastAsia"/>
          <w:sz w:val="32"/>
          <w:szCs w:val="32"/>
        </w:rPr>
        <w:t>水表</w:t>
      </w:r>
      <w:r>
        <w:rPr>
          <w:rFonts w:ascii="仿宋" w:eastAsia="仿宋" w:hAnsi="仿宋" w:cs="仿宋" w:hint="eastAsia"/>
          <w:sz w:val="32"/>
          <w:szCs w:val="32"/>
        </w:rPr>
        <w:t>计量管理水平，</w:t>
      </w:r>
      <w:r>
        <w:rPr>
          <w:rFonts w:ascii="仿宋" w:eastAsia="仿宋" w:hAnsi="仿宋" w:cs="仿宋" w:hint="eastAsia"/>
          <w:sz w:val="32"/>
          <w:szCs w:val="32"/>
        </w:rPr>
        <w:t>结合《用户生活给水系统设计、施工及验收规范》</w:t>
      </w:r>
      <w:r>
        <w:rPr>
          <w:rFonts w:ascii="仿宋" w:eastAsia="仿宋" w:hAnsi="仿宋" w:cs="仿宋" w:hint="eastAsia"/>
          <w:sz w:val="32"/>
          <w:szCs w:val="32"/>
        </w:rPr>
        <w:t>特制定本</w:t>
      </w:r>
      <w:r>
        <w:rPr>
          <w:rFonts w:ascii="仿宋" w:eastAsia="仿宋" w:hAnsi="仿宋" w:cs="仿宋" w:hint="eastAsia"/>
          <w:sz w:val="32"/>
          <w:szCs w:val="32"/>
        </w:rPr>
        <w:t>安装指引</w:t>
      </w:r>
      <w:r>
        <w:rPr>
          <w:rFonts w:ascii="仿宋" w:eastAsia="仿宋" w:hAnsi="仿宋" w:cs="仿宋" w:hint="eastAsia"/>
          <w:sz w:val="32"/>
          <w:szCs w:val="32"/>
        </w:rPr>
        <w:t>。</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适用范围</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w:t>
      </w:r>
      <w:r>
        <w:rPr>
          <w:rFonts w:ascii="仿宋" w:eastAsia="仿宋" w:hAnsi="仿宋" w:cs="仿宋" w:hint="eastAsia"/>
          <w:sz w:val="32"/>
          <w:szCs w:val="32"/>
        </w:rPr>
        <w:t>指引</w:t>
      </w:r>
      <w:r>
        <w:rPr>
          <w:rFonts w:ascii="仿宋" w:eastAsia="仿宋" w:hAnsi="仿宋" w:cs="仿宋" w:hint="eastAsia"/>
          <w:sz w:val="32"/>
          <w:szCs w:val="32"/>
        </w:rPr>
        <w:t>适用于公司范围内</w:t>
      </w:r>
      <w:r>
        <w:rPr>
          <w:rFonts w:ascii="仿宋" w:eastAsia="仿宋" w:hAnsi="仿宋" w:cs="仿宋" w:hint="eastAsia"/>
          <w:sz w:val="32"/>
          <w:szCs w:val="32"/>
        </w:rPr>
        <w:t>机械</w:t>
      </w:r>
      <w:r>
        <w:rPr>
          <w:rFonts w:ascii="仿宋" w:eastAsia="仿宋" w:hAnsi="仿宋" w:cs="仿宋" w:hint="eastAsia"/>
          <w:sz w:val="32"/>
          <w:szCs w:val="32"/>
        </w:rPr>
        <w:t>水表</w:t>
      </w:r>
      <w:r>
        <w:rPr>
          <w:rFonts w:ascii="仿宋" w:eastAsia="仿宋" w:hAnsi="仿宋" w:cs="仿宋" w:hint="eastAsia"/>
          <w:sz w:val="32"/>
          <w:szCs w:val="32"/>
        </w:rPr>
        <w:t>和智能水表</w:t>
      </w:r>
      <w:r>
        <w:rPr>
          <w:rFonts w:ascii="仿宋" w:eastAsia="仿宋" w:hAnsi="仿宋" w:cs="仿宋" w:hint="eastAsia"/>
          <w:sz w:val="32"/>
          <w:szCs w:val="32"/>
        </w:rPr>
        <w:t>的设计、安装。</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制定依据</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《饮用冷水水表和热水水表》（</w:t>
      </w:r>
      <w:r>
        <w:rPr>
          <w:rFonts w:ascii="仿宋" w:eastAsia="仿宋" w:hAnsi="仿宋" w:cs="仿宋" w:hint="eastAsia"/>
          <w:sz w:val="32"/>
          <w:szCs w:val="32"/>
        </w:rPr>
        <w:t>GB/T778-2018</w:t>
      </w:r>
      <w:r>
        <w:rPr>
          <w:rFonts w:ascii="仿宋" w:eastAsia="仿宋" w:hAnsi="仿宋" w:cs="仿宋" w:hint="eastAsia"/>
          <w:sz w:val="32"/>
          <w:szCs w:val="32"/>
        </w:rPr>
        <w:t>）</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《用户生活给水系统设计、施工及验收规范》（</w:t>
      </w:r>
      <w:r>
        <w:rPr>
          <w:rFonts w:ascii="仿宋" w:eastAsia="仿宋" w:hAnsi="仿宋" w:cs="仿宋" w:hint="eastAsia"/>
          <w:sz w:val="32"/>
          <w:szCs w:val="32"/>
        </w:rPr>
        <w:t>DBJ440100/T-2013</w:t>
      </w:r>
      <w:r>
        <w:rPr>
          <w:rFonts w:ascii="仿宋" w:eastAsia="仿宋" w:hAnsi="仿宋" w:cs="仿宋" w:hint="eastAsia"/>
          <w:sz w:val="32"/>
          <w:szCs w:val="32"/>
        </w:rPr>
        <w:t>）</w:t>
      </w:r>
    </w:p>
    <w:p w:rsidR="0051668F" w:rsidRDefault="0051668F">
      <w:pPr>
        <w:spacing w:line="360" w:lineRule="auto"/>
        <w:ind w:firstLineChars="200" w:firstLine="640"/>
        <w:rPr>
          <w:rFonts w:ascii="仿宋" w:eastAsia="仿宋" w:hAnsi="仿宋" w:cs="仿宋"/>
          <w:sz w:val="32"/>
          <w:szCs w:val="32"/>
        </w:rPr>
      </w:pPr>
    </w:p>
    <w:p w:rsidR="0051668F" w:rsidRDefault="00E31860">
      <w:pPr>
        <w:tabs>
          <w:tab w:val="left" w:pos="1605"/>
        </w:tabs>
        <w:spacing w:line="360" w:lineRule="auto"/>
        <w:ind w:firstLineChars="200" w:firstLine="640"/>
        <w:jc w:val="center"/>
        <w:rPr>
          <w:rFonts w:ascii="黑体" w:eastAsia="黑体" w:hAnsi="黑体" w:cs="黑体"/>
          <w:bCs/>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中小口径水表安装技术要求</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水表的设计、安装应符合《饮用冷水水表和热水水表</w:t>
      </w:r>
      <w:r>
        <w:rPr>
          <w:rFonts w:ascii="仿宋" w:eastAsia="仿宋" w:hAnsi="仿宋" w:cs="仿宋" w:hint="eastAsia"/>
          <w:sz w:val="32"/>
          <w:szCs w:val="32"/>
        </w:rPr>
        <w:t xml:space="preserve"> </w:t>
      </w:r>
      <w:r>
        <w:rPr>
          <w:rFonts w:ascii="仿宋" w:eastAsia="仿宋" w:hAnsi="仿宋" w:cs="仿宋" w:hint="eastAsia"/>
          <w:sz w:val="32"/>
          <w:szCs w:val="32"/>
        </w:rPr>
        <w:t>第五部分：安装要求》（</w:t>
      </w:r>
      <w:r>
        <w:rPr>
          <w:rFonts w:ascii="仿宋" w:eastAsia="仿宋" w:hAnsi="仿宋" w:cs="仿宋" w:hint="eastAsia"/>
          <w:sz w:val="32"/>
          <w:szCs w:val="32"/>
        </w:rPr>
        <w:t>GB/T 778-2018</w:t>
      </w:r>
      <w:r>
        <w:rPr>
          <w:rFonts w:ascii="仿宋" w:eastAsia="仿宋" w:hAnsi="仿宋" w:cs="仿宋" w:hint="eastAsia"/>
          <w:sz w:val="32"/>
          <w:szCs w:val="32"/>
        </w:rPr>
        <w:t>）内容要求。中小口径水表安装标准示意图如图一、二所示。安装时结合现场情况采用图一或图二列出的相关管件。</w:t>
      </w:r>
    </w:p>
    <w:p w:rsidR="0051668F" w:rsidRDefault="0051668F">
      <w:pPr>
        <w:spacing w:line="360" w:lineRule="auto"/>
        <w:ind w:firstLineChars="200" w:firstLine="640"/>
        <w:rPr>
          <w:rFonts w:ascii="仿宋" w:eastAsia="仿宋" w:hAnsi="仿宋" w:cs="仿宋"/>
          <w:sz w:val="32"/>
          <w:szCs w:val="32"/>
        </w:rPr>
      </w:pPr>
    </w:p>
    <w:p w:rsidR="0051668F" w:rsidRDefault="00E31860">
      <w:pPr>
        <w:spacing w:line="360" w:lineRule="auto"/>
        <w:rPr>
          <w:rFonts w:ascii="仿宋" w:eastAsia="仿宋" w:hAnsi="仿宋" w:cs="仿宋"/>
          <w:sz w:val="32"/>
          <w:szCs w:val="32"/>
        </w:rPr>
      </w:pPr>
      <w:r>
        <w:rPr>
          <w:noProof/>
        </w:rPr>
        <w:drawing>
          <wp:inline distT="0" distB="0" distL="114300" distR="114300">
            <wp:extent cx="5876925" cy="1816735"/>
            <wp:effectExtent l="0" t="0" r="952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5876925" cy="1816735"/>
                    </a:xfrm>
                    <a:prstGeom prst="rect">
                      <a:avLst/>
                    </a:prstGeom>
                    <a:noFill/>
                    <a:ln>
                      <a:noFill/>
                    </a:ln>
                  </pic:spPr>
                </pic:pic>
              </a:graphicData>
            </a:graphic>
          </wp:inline>
        </w:drawing>
      </w:r>
    </w:p>
    <w:p w:rsidR="0051668F" w:rsidRDefault="00E31860">
      <w:pPr>
        <w:spacing w:line="360" w:lineRule="auto"/>
        <w:rPr>
          <w:rFonts w:ascii="仿宋" w:eastAsia="仿宋" w:hAnsi="仿宋" w:cs="仿宋"/>
          <w:b/>
          <w:bCs/>
          <w:sz w:val="28"/>
          <w:szCs w:val="28"/>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28"/>
          <w:szCs w:val="28"/>
        </w:rPr>
        <w:t>图一：中小口径水表安装标准示意图（一）</w:t>
      </w:r>
    </w:p>
    <w:p w:rsidR="0051668F" w:rsidRDefault="00E31860">
      <w:pPr>
        <w:spacing w:line="360" w:lineRule="auto"/>
      </w:pPr>
      <w:r>
        <w:rPr>
          <w:noProof/>
        </w:rPr>
        <w:drawing>
          <wp:inline distT="0" distB="0" distL="114300" distR="114300">
            <wp:extent cx="6029960" cy="2047875"/>
            <wp:effectExtent l="0" t="0" r="889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6029960" cy="2047875"/>
                    </a:xfrm>
                    <a:prstGeom prst="rect">
                      <a:avLst/>
                    </a:prstGeom>
                    <a:noFill/>
                    <a:ln>
                      <a:noFill/>
                    </a:ln>
                  </pic:spPr>
                </pic:pic>
              </a:graphicData>
            </a:graphic>
          </wp:inline>
        </w:drawing>
      </w:r>
    </w:p>
    <w:p w:rsidR="0051668F" w:rsidRDefault="00E31860">
      <w:pPr>
        <w:spacing w:line="360" w:lineRule="auto"/>
        <w:ind w:firstLineChars="800" w:firstLine="2570"/>
      </w:pPr>
      <w:r>
        <w:rPr>
          <w:rFonts w:ascii="仿宋" w:eastAsia="仿宋" w:hAnsi="仿宋" w:cs="仿宋" w:hint="eastAsia"/>
          <w:b/>
          <w:bCs/>
          <w:sz w:val="32"/>
          <w:szCs w:val="32"/>
        </w:rPr>
        <w:t xml:space="preserve"> </w:t>
      </w:r>
      <w:r>
        <w:rPr>
          <w:rFonts w:ascii="仿宋" w:eastAsia="仿宋" w:hAnsi="仿宋" w:cs="仿宋" w:hint="eastAsia"/>
          <w:b/>
          <w:bCs/>
          <w:sz w:val="28"/>
          <w:szCs w:val="28"/>
        </w:rPr>
        <w:t>图二：中小口径水表安装标准示意图（二）</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水表在设计和安装时必须预留足够的直管段。为保障水表计量准确，性能稳定，新建房屋水表安装应满足直管段前</w:t>
      </w:r>
      <w:r>
        <w:rPr>
          <w:rFonts w:ascii="仿宋" w:eastAsia="仿宋" w:hAnsi="仿宋" w:cs="仿宋" w:hint="eastAsia"/>
          <w:sz w:val="32"/>
          <w:szCs w:val="32"/>
        </w:rPr>
        <w:t>10D</w:t>
      </w:r>
      <w:r>
        <w:rPr>
          <w:rFonts w:ascii="仿宋" w:eastAsia="仿宋" w:hAnsi="仿宋" w:cs="仿宋" w:hint="eastAsia"/>
          <w:sz w:val="32"/>
          <w:szCs w:val="32"/>
        </w:rPr>
        <w:t>后</w:t>
      </w:r>
      <w:r>
        <w:rPr>
          <w:rFonts w:ascii="仿宋" w:eastAsia="仿宋" w:hAnsi="仿宋" w:cs="仿宋" w:hint="eastAsia"/>
          <w:sz w:val="32"/>
          <w:szCs w:val="32"/>
        </w:rPr>
        <w:t>10D</w:t>
      </w:r>
      <w:r>
        <w:rPr>
          <w:rFonts w:ascii="仿宋" w:eastAsia="仿宋" w:hAnsi="仿宋" w:cs="仿宋" w:hint="eastAsia"/>
          <w:sz w:val="32"/>
          <w:szCs w:val="32"/>
        </w:rPr>
        <w:t>要求；旧改水表如现场条件受限或水表表前装有阀门、弯管、三通以及</w:t>
      </w:r>
      <w:r>
        <w:rPr>
          <w:rFonts w:ascii="仿宋" w:eastAsia="仿宋" w:hAnsi="仿宋" w:cs="仿宋" w:hint="eastAsia"/>
          <w:sz w:val="32"/>
          <w:szCs w:val="32"/>
        </w:rPr>
        <w:t>变径的情况时，水表的直管段应保证前</w:t>
      </w:r>
      <w:r>
        <w:rPr>
          <w:rFonts w:ascii="仿宋" w:eastAsia="仿宋" w:hAnsi="仿宋" w:cs="仿宋" w:hint="eastAsia"/>
          <w:sz w:val="32"/>
          <w:szCs w:val="32"/>
        </w:rPr>
        <w:t>10D</w:t>
      </w:r>
      <w:r>
        <w:rPr>
          <w:rFonts w:ascii="仿宋" w:eastAsia="仿宋" w:hAnsi="仿宋" w:cs="仿宋" w:hint="eastAsia"/>
          <w:sz w:val="32"/>
          <w:szCs w:val="32"/>
        </w:rPr>
        <w:t>后</w:t>
      </w:r>
      <w:r>
        <w:rPr>
          <w:rFonts w:ascii="仿宋" w:eastAsia="仿宋" w:hAnsi="仿宋" w:cs="仿宋" w:hint="eastAsia"/>
          <w:sz w:val="32"/>
          <w:szCs w:val="32"/>
        </w:rPr>
        <w:t>5D</w:t>
      </w:r>
      <w:r>
        <w:rPr>
          <w:rFonts w:ascii="仿宋" w:eastAsia="仿宋" w:hAnsi="仿宋" w:cs="仿宋" w:hint="eastAsia"/>
          <w:sz w:val="32"/>
          <w:szCs w:val="32"/>
        </w:rPr>
        <w:t>；当受现场条件所限，前后直管段均无法保证的情况下，优先保证水表的前直管段（</w:t>
      </w:r>
      <w:r>
        <w:rPr>
          <w:rFonts w:ascii="仿宋" w:eastAsia="仿宋" w:hAnsi="仿宋" w:cs="仿宋" w:hint="eastAsia"/>
          <w:sz w:val="32"/>
          <w:szCs w:val="32"/>
        </w:rPr>
        <w:t>D</w:t>
      </w:r>
      <w:r>
        <w:rPr>
          <w:rFonts w:ascii="仿宋" w:eastAsia="仿宋" w:hAnsi="仿宋" w:cs="仿宋" w:hint="eastAsia"/>
          <w:sz w:val="32"/>
          <w:szCs w:val="32"/>
        </w:rPr>
        <w:t>为水表的公称口径）。与制造商的说明书没有冲突时，也可在水表上游安装一个流动整直器，保持水流稳定以缩短直管段长度。</w:t>
      </w:r>
    </w:p>
    <w:p w:rsidR="0051668F" w:rsidRDefault="00E31860">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注意：所要求的水表直管段不包括水表本身及其连接螺母或水表</w:t>
      </w:r>
      <w:r>
        <w:rPr>
          <w:rFonts w:ascii="仿宋" w:eastAsia="仿宋" w:hAnsi="仿宋" w:cs="仿宋" w:hint="eastAsia"/>
          <w:b/>
          <w:bCs/>
          <w:sz w:val="28"/>
          <w:szCs w:val="28"/>
        </w:rPr>
        <w:lastRenderedPageBreak/>
        <w:t>接头的长度，前后直管段内不得安装阀门。</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水表必须水平安装，使水表表面与管段垂直朝上，水表表壳箭头方向与水流方向相同。</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表不应直接与管道连接，水表与管道间应通过接管、密封垫圈、连接螺母或水表接头连接。所有水表应有钢丝封、防盗环等设施。</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水表应采用裸露安装的方式安装在说明书限定的安装位置。水表宜安装在方便接近、易于抄读的户外位置，安装位置要避免冰冻、污染和水淹，不应被遮挡、骑压或掩埋，尽量安装在各建筑单元户外或水表间、水表井内，并尽量靠近电源。</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）应避免将水表装于风险表位处（如表一所示）。确保抄表人员能在水表安装位置视线内直视查看水表表码和水表行度。</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表一：风险表位描述及安全隐患</w:t>
      </w:r>
    </w:p>
    <w:tbl>
      <w:tblPr>
        <w:tblStyle w:val="a3"/>
        <w:tblpPr w:leftFromText="180" w:rightFromText="180" w:vertAnchor="text" w:horzAnchor="page" w:tblpX="1938" w:tblpY="199"/>
        <w:tblOverlap w:val="never"/>
        <w:tblW w:w="4510" w:type="pct"/>
        <w:tblLook w:val="04A0"/>
      </w:tblPr>
      <w:tblGrid>
        <w:gridCol w:w="575"/>
        <w:gridCol w:w="4743"/>
        <w:gridCol w:w="2369"/>
      </w:tblGrid>
      <w:tr w:rsidR="0051668F">
        <w:trPr>
          <w:trHeight w:val="515"/>
        </w:trPr>
        <w:tc>
          <w:tcPr>
            <w:tcW w:w="374" w:type="pct"/>
            <w:vAlign w:val="center"/>
          </w:tcPr>
          <w:p w:rsidR="0051668F" w:rsidRDefault="00E31860">
            <w:pPr>
              <w:rPr>
                <w:rFonts w:ascii="仿宋" w:eastAsia="仿宋" w:hAnsi="仿宋" w:cs="仿宋"/>
                <w:b/>
                <w:bCs/>
                <w:sz w:val="24"/>
              </w:rPr>
            </w:pPr>
            <w:r>
              <w:rPr>
                <w:rFonts w:ascii="仿宋" w:eastAsia="仿宋" w:hAnsi="仿宋" w:cs="仿宋" w:hint="eastAsia"/>
                <w:b/>
                <w:bCs/>
                <w:sz w:val="24"/>
              </w:rPr>
              <w:t>序号</w:t>
            </w:r>
          </w:p>
        </w:tc>
        <w:tc>
          <w:tcPr>
            <w:tcW w:w="3084" w:type="pct"/>
            <w:vAlign w:val="center"/>
          </w:tcPr>
          <w:p w:rsidR="0051668F" w:rsidRDefault="00E31860">
            <w:pPr>
              <w:ind w:firstLineChars="500" w:firstLine="1205"/>
              <w:rPr>
                <w:rFonts w:ascii="仿宋" w:eastAsia="仿宋" w:hAnsi="仿宋" w:cs="仿宋"/>
                <w:b/>
                <w:bCs/>
                <w:sz w:val="24"/>
              </w:rPr>
            </w:pPr>
            <w:r>
              <w:rPr>
                <w:rFonts w:ascii="仿宋" w:eastAsia="仿宋" w:hAnsi="仿宋" w:cs="仿宋" w:hint="eastAsia"/>
                <w:b/>
                <w:bCs/>
                <w:sz w:val="24"/>
              </w:rPr>
              <w:t>风险表位描述</w:t>
            </w:r>
          </w:p>
        </w:tc>
        <w:tc>
          <w:tcPr>
            <w:tcW w:w="1541" w:type="pct"/>
            <w:vAlign w:val="center"/>
          </w:tcPr>
          <w:p w:rsidR="0051668F" w:rsidRDefault="00E31860">
            <w:pPr>
              <w:ind w:firstLineChars="300" w:firstLine="723"/>
              <w:rPr>
                <w:rFonts w:ascii="仿宋" w:eastAsia="仿宋" w:hAnsi="仿宋" w:cs="仿宋"/>
                <w:b/>
                <w:bCs/>
                <w:sz w:val="24"/>
              </w:rPr>
            </w:pPr>
            <w:r>
              <w:rPr>
                <w:rFonts w:ascii="仿宋" w:eastAsia="仿宋" w:hAnsi="仿宋" w:cs="仿宋" w:hint="eastAsia"/>
                <w:b/>
                <w:bCs/>
                <w:sz w:val="24"/>
              </w:rPr>
              <w:t>风险隐患</w:t>
            </w:r>
          </w:p>
        </w:tc>
      </w:tr>
      <w:tr w:rsidR="0051668F">
        <w:trPr>
          <w:trHeight w:val="297"/>
        </w:trPr>
        <w:tc>
          <w:tcPr>
            <w:tcW w:w="374" w:type="pct"/>
          </w:tcPr>
          <w:p w:rsidR="0051668F" w:rsidRDefault="00E31860">
            <w:pPr>
              <w:rPr>
                <w:rFonts w:ascii="仿宋" w:eastAsia="仿宋" w:hAnsi="仿宋" w:cs="仿宋"/>
                <w:sz w:val="24"/>
              </w:rPr>
            </w:pPr>
            <w:r>
              <w:rPr>
                <w:rFonts w:ascii="仿宋" w:eastAsia="仿宋" w:hAnsi="仿宋" w:cs="仿宋" w:hint="eastAsia"/>
                <w:sz w:val="24"/>
              </w:rPr>
              <w:t>1</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水表安装在机动车道或道路中心隔离带</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车辆碰撞、人车相撞</w:t>
            </w:r>
          </w:p>
        </w:tc>
      </w:tr>
      <w:tr w:rsidR="0051668F">
        <w:trPr>
          <w:trHeight w:val="585"/>
        </w:trPr>
        <w:tc>
          <w:tcPr>
            <w:tcW w:w="374" w:type="pct"/>
          </w:tcPr>
          <w:p w:rsidR="0051668F" w:rsidRDefault="00E31860">
            <w:pPr>
              <w:rPr>
                <w:rFonts w:ascii="仿宋" w:eastAsia="仿宋" w:hAnsi="仿宋" w:cs="仿宋"/>
                <w:sz w:val="24"/>
              </w:rPr>
            </w:pPr>
            <w:r>
              <w:rPr>
                <w:rFonts w:ascii="仿宋" w:eastAsia="仿宋" w:hAnsi="仿宋" w:cs="仿宋" w:hint="eastAsia"/>
                <w:sz w:val="24"/>
              </w:rPr>
              <w:t>2</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水表埋于深坑</w:t>
            </w:r>
            <w:r>
              <w:rPr>
                <w:rFonts w:ascii="仿宋" w:eastAsia="仿宋" w:hAnsi="仿宋" w:cs="仿宋" w:hint="eastAsia"/>
                <w:sz w:val="24"/>
              </w:rPr>
              <w:t>/</w:t>
            </w:r>
            <w:r>
              <w:rPr>
                <w:rFonts w:ascii="仿宋" w:eastAsia="仿宋" w:hAnsi="仿宋" w:cs="仿宋" w:hint="eastAsia"/>
                <w:sz w:val="24"/>
              </w:rPr>
              <w:t>深井</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攀爬、下井抄表过程中易发生扭伤、挫伤</w:t>
            </w:r>
          </w:p>
        </w:tc>
      </w:tr>
      <w:tr w:rsidR="0051668F">
        <w:trPr>
          <w:trHeight w:val="297"/>
        </w:trPr>
        <w:tc>
          <w:tcPr>
            <w:tcW w:w="374" w:type="pct"/>
          </w:tcPr>
          <w:p w:rsidR="0051668F" w:rsidRDefault="00E31860">
            <w:pPr>
              <w:rPr>
                <w:rFonts w:ascii="仿宋" w:eastAsia="仿宋" w:hAnsi="仿宋" w:cs="仿宋"/>
                <w:sz w:val="24"/>
              </w:rPr>
            </w:pPr>
            <w:r>
              <w:rPr>
                <w:rFonts w:ascii="仿宋" w:eastAsia="仿宋" w:hAnsi="仿宋" w:cs="仿宋" w:hint="eastAsia"/>
                <w:sz w:val="24"/>
              </w:rPr>
              <w:t>3</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水表上方有重质井盖或石板</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撬动板盖易发生砸伤事故</w:t>
            </w:r>
          </w:p>
        </w:tc>
      </w:tr>
      <w:tr w:rsidR="0051668F">
        <w:trPr>
          <w:trHeight w:val="585"/>
        </w:trPr>
        <w:tc>
          <w:tcPr>
            <w:tcW w:w="374" w:type="pct"/>
          </w:tcPr>
          <w:p w:rsidR="0051668F" w:rsidRDefault="00E31860">
            <w:pPr>
              <w:rPr>
                <w:rFonts w:ascii="仿宋" w:eastAsia="仿宋" w:hAnsi="仿宋" w:cs="仿宋"/>
                <w:sz w:val="24"/>
              </w:rPr>
            </w:pPr>
            <w:r>
              <w:rPr>
                <w:rFonts w:ascii="仿宋" w:eastAsia="仿宋" w:hAnsi="仿宋" w:cs="仿宋" w:hint="eastAsia"/>
                <w:sz w:val="24"/>
              </w:rPr>
              <w:t>4</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深入施工工地</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高空堕物：拌倒扭伤：尖锐物挫伤</w:t>
            </w:r>
          </w:p>
        </w:tc>
      </w:tr>
      <w:tr w:rsidR="0051668F">
        <w:trPr>
          <w:trHeight w:val="474"/>
        </w:trPr>
        <w:tc>
          <w:tcPr>
            <w:tcW w:w="374" w:type="pct"/>
          </w:tcPr>
          <w:p w:rsidR="0051668F" w:rsidRDefault="00E31860">
            <w:pPr>
              <w:rPr>
                <w:rFonts w:ascii="仿宋" w:eastAsia="仿宋" w:hAnsi="仿宋" w:cs="仿宋"/>
                <w:sz w:val="24"/>
              </w:rPr>
            </w:pPr>
            <w:r>
              <w:rPr>
                <w:rFonts w:ascii="仿宋" w:eastAsia="仿宋" w:hAnsi="仿宋" w:cs="仿宋" w:hint="eastAsia"/>
                <w:sz w:val="24"/>
              </w:rPr>
              <w:t>5</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表位旁边悬空（常见于天台、工地）</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高空坠落</w:t>
            </w:r>
          </w:p>
        </w:tc>
      </w:tr>
      <w:tr w:rsidR="0051668F">
        <w:trPr>
          <w:trHeight w:val="585"/>
        </w:trPr>
        <w:tc>
          <w:tcPr>
            <w:tcW w:w="374" w:type="pct"/>
          </w:tcPr>
          <w:p w:rsidR="0051668F" w:rsidRDefault="00E31860">
            <w:pPr>
              <w:rPr>
                <w:rFonts w:ascii="仿宋" w:eastAsia="仿宋" w:hAnsi="仿宋" w:cs="仿宋"/>
                <w:sz w:val="24"/>
              </w:rPr>
            </w:pPr>
            <w:r>
              <w:rPr>
                <w:rFonts w:ascii="仿宋" w:eastAsia="仿宋" w:hAnsi="仿宋" w:cs="仿宋" w:hint="eastAsia"/>
                <w:sz w:val="24"/>
              </w:rPr>
              <w:t>6</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表位处于高处、需要借助扶梯攀爬抄表（扶梯不牢固、不够高）</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从扶梯上跌落</w:t>
            </w:r>
          </w:p>
          <w:p w:rsidR="0051668F" w:rsidRDefault="0051668F">
            <w:pPr>
              <w:ind w:firstLineChars="200" w:firstLine="480"/>
              <w:rPr>
                <w:rFonts w:ascii="仿宋" w:eastAsia="仿宋" w:hAnsi="仿宋" w:cs="仿宋"/>
                <w:sz w:val="24"/>
              </w:rPr>
            </w:pPr>
            <w:bookmarkStart w:id="0" w:name="_GoBack"/>
            <w:bookmarkEnd w:id="0"/>
          </w:p>
        </w:tc>
      </w:tr>
      <w:tr w:rsidR="0051668F">
        <w:trPr>
          <w:trHeight w:val="297"/>
        </w:trPr>
        <w:tc>
          <w:tcPr>
            <w:tcW w:w="374" w:type="pct"/>
          </w:tcPr>
          <w:p w:rsidR="0051668F" w:rsidRDefault="00E31860">
            <w:pPr>
              <w:rPr>
                <w:rFonts w:ascii="仿宋" w:eastAsia="仿宋" w:hAnsi="仿宋" w:cs="仿宋"/>
                <w:sz w:val="24"/>
              </w:rPr>
            </w:pPr>
            <w:r>
              <w:rPr>
                <w:rFonts w:ascii="仿宋" w:eastAsia="仿宋" w:hAnsi="仿宋" w:cs="仿宋" w:hint="eastAsia"/>
                <w:sz w:val="24"/>
              </w:rPr>
              <w:t>7</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表位位于天面，天窗盖体厚实，打开困难</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被盖体夹伤、砸伤</w:t>
            </w:r>
          </w:p>
        </w:tc>
      </w:tr>
      <w:tr w:rsidR="0051668F">
        <w:trPr>
          <w:trHeight w:val="873"/>
        </w:trPr>
        <w:tc>
          <w:tcPr>
            <w:tcW w:w="374" w:type="pct"/>
          </w:tcPr>
          <w:p w:rsidR="0051668F" w:rsidRDefault="00E31860">
            <w:pPr>
              <w:rPr>
                <w:rFonts w:ascii="仿宋" w:eastAsia="仿宋" w:hAnsi="仿宋" w:cs="仿宋"/>
                <w:sz w:val="24"/>
              </w:rPr>
            </w:pPr>
            <w:r>
              <w:rPr>
                <w:rFonts w:ascii="仿宋" w:eastAsia="仿宋" w:hAnsi="仿宋" w:cs="仿宋" w:hint="eastAsia"/>
                <w:sz w:val="24"/>
              </w:rPr>
              <w:lastRenderedPageBreak/>
              <w:t>8</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抄表空间狭窄，宽度不足以让抄表员正身进入（常见于城中村握手楼，在巷口伸手被墙体硬物擦伤能抄见的不算）</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被墙体硬物擦伤</w:t>
            </w:r>
          </w:p>
        </w:tc>
      </w:tr>
      <w:tr w:rsidR="0051668F">
        <w:trPr>
          <w:trHeight w:val="585"/>
        </w:trPr>
        <w:tc>
          <w:tcPr>
            <w:tcW w:w="374" w:type="pct"/>
          </w:tcPr>
          <w:p w:rsidR="0051668F" w:rsidRDefault="00E31860">
            <w:pPr>
              <w:rPr>
                <w:rFonts w:ascii="仿宋" w:eastAsia="仿宋" w:hAnsi="仿宋" w:cs="仿宋"/>
                <w:sz w:val="24"/>
              </w:rPr>
            </w:pPr>
            <w:r>
              <w:rPr>
                <w:rFonts w:ascii="仿宋" w:eastAsia="仿宋" w:hAnsi="仿宋" w:cs="仿宋" w:hint="eastAsia"/>
                <w:sz w:val="24"/>
              </w:rPr>
              <w:t>9</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抄表线路存在难以翻越的障碍物（如围墙被绊倒扭伤、跌伤植被、货物等）</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被绊倒扭伤、跌伤</w:t>
            </w:r>
          </w:p>
        </w:tc>
      </w:tr>
      <w:tr w:rsidR="0051668F">
        <w:trPr>
          <w:trHeight w:val="594"/>
        </w:trPr>
        <w:tc>
          <w:tcPr>
            <w:tcW w:w="374" w:type="pct"/>
          </w:tcPr>
          <w:p w:rsidR="0051668F" w:rsidRDefault="00E31860">
            <w:pPr>
              <w:rPr>
                <w:rFonts w:ascii="仿宋" w:eastAsia="仿宋" w:hAnsi="仿宋" w:cs="仿宋"/>
                <w:sz w:val="24"/>
              </w:rPr>
            </w:pPr>
            <w:r>
              <w:rPr>
                <w:rFonts w:ascii="仿宋" w:eastAsia="仿宋" w:hAnsi="仿宋" w:cs="仿宋" w:hint="eastAsia"/>
                <w:sz w:val="24"/>
              </w:rPr>
              <w:t>10</w:t>
            </w:r>
          </w:p>
        </w:tc>
        <w:tc>
          <w:tcPr>
            <w:tcW w:w="3084" w:type="pct"/>
          </w:tcPr>
          <w:p w:rsidR="0051668F" w:rsidRDefault="00E31860">
            <w:pPr>
              <w:rPr>
                <w:rFonts w:ascii="仿宋" w:eastAsia="仿宋" w:hAnsi="仿宋" w:cs="仿宋"/>
                <w:sz w:val="24"/>
              </w:rPr>
            </w:pPr>
            <w:r>
              <w:rPr>
                <w:rFonts w:ascii="仿宋" w:eastAsia="仿宋" w:hAnsi="仿宋" w:cs="仿宋" w:hint="eastAsia"/>
                <w:sz w:val="24"/>
              </w:rPr>
              <w:t>深入生产车间、厂房</w:t>
            </w:r>
          </w:p>
        </w:tc>
        <w:tc>
          <w:tcPr>
            <w:tcW w:w="1541" w:type="pct"/>
          </w:tcPr>
          <w:p w:rsidR="0051668F" w:rsidRDefault="00E31860">
            <w:pPr>
              <w:rPr>
                <w:rFonts w:ascii="仿宋" w:eastAsia="仿宋" w:hAnsi="仿宋" w:cs="仿宋"/>
                <w:sz w:val="24"/>
              </w:rPr>
            </w:pPr>
            <w:r>
              <w:rPr>
                <w:rFonts w:ascii="仿宋" w:eastAsia="仿宋" w:hAnsi="仿宋" w:cs="仿宋" w:hint="eastAsia"/>
                <w:sz w:val="24"/>
              </w:rPr>
              <w:t>受到电力、器械、化学品等伤害</w:t>
            </w:r>
          </w:p>
        </w:tc>
      </w:tr>
    </w:tbl>
    <w:p w:rsidR="0051668F" w:rsidRDefault="00E31860">
      <w:pPr>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51668F" w:rsidRDefault="0051668F">
      <w:pPr>
        <w:spacing w:line="360" w:lineRule="auto"/>
        <w:ind w:firstLineChars="200" w:firstLine="640"/>
        <w:rPr>
          <w:rFonts w:ascii="仿宋" w:eastAsia="仿宋" w:hAnsi="仿宋" w:cs="仿宋"/>
          <w:sz w:val="32"/>
          <w:szCs w:val="32"/>
        </w:rPr>
      </w:pPr>
    </w:p>
    <w:p w:rsidR="0051668F" w:rsidRDefault="0051668F">
      <w:pPr>
        <w:spacing w:line="360" w:lineRule="auto"/>
        <w:ind w:firstLineChars="200" w:firstLine="640"/>
        <w:rPr>
          <w:rFonts w:ascii="仿宋" w:eastAsia="仿宋" w:hAnsi="仿宋" w:cs="仿宋"/>
          <w:sz w:val="32"/>
          <w:szCs w:val="32"/>
        </w:rPr>
      </w:pP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）设置在绿化带、田地、泥地等软质土内的水表，表组投影线两侧</w:t>
      </w:r>
      <w:r>
        <w:rPr>
          <w:rFonts w:ascii="仿宋" w:eastAsia="仿宋" w:hAnsi="仿宋" w:cs="仿宋" w:hint="eastAsia"/>
          <w:sz w:val="32"/>
          <w:szCs w:val="32"/>
        </w:rPr>
        <w:t>0.3</w:t>
      </w:r>
      <w:r>
        <w:rPr>
          <w:rFonts w:ascii="仿宋" w:eastAsia="仿宋" w:hAnsi="仿宋" w:cs="仿宋" w:hint="eastAsia"/>
          <w:sz w:val="32"/>
          <w:szCs w:val="32"/>
        </w:rPr>
        <w:t>米范围内的地面须作硬底化处理，且需有可通行的进出道路。</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水表底部距地面净空距离不少于</w:t>
      </w:r>
      <w:r>
        <w:rPr>
          <w:rFonts w:ascii="仿宋" w:eastAsia="仿宋" w:hAnsi="仿宋" w:cs="仿宋" w:hint="eastAsia"/>
          <w:sz w:val="32"/>
          <w:szCs w:val="32"/>
        </w:rPr>
        <w:t>0.3M</w:t>
      </w:r>
      <w:r>
        <w:rPr>
          <w:rFonts w:ascii="仿宋" w:eastAsia="仿宋" w:hAnsi="仿宋" w:cs="仿宋" w:hint="eastAsia"/>
          <w:sz w:val="32"/>
          <w:szCs w:val="32"/>
        </w:rPr>
        <w:t>。</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垂直并联安装要求</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（一）多个水表组垂直并联安装时，安装示意图如图三、四所示。为保障后期水表现场检验及现场读表空间，每个表组间水平净空距离（表间距</w:t>
      </w:r>
      <w:r>
        <w:rPr>
          <w:rFonts w:ascii="仿宋" w:eastAsia="仿宋" w:hAnsi="仿宋" w:cs="仿宋" w:hint="eastAsia"/>
          <w:sz w:val="32"/>
          <w:szCs w:val="32"/>
        </w:rPr>
        <w:t>H</w:t>
      </w:r>
      <w:r>
        <w:rPr>
          <w:rFonts w:ascii="仿宋" w:eastAsia="仿宋" w:hAnsi="仿宋" w:cs="仿宋" w:hint="eastAsia"/>
          <w:sz w:val="32"/>
          <w:szCs w:val="32"/>
        </w:rPr>
        <w:t>）不得少于</w:t>
      </w:r>
      <w:r>
        <w:rPr>
          <w:rFonts w:ascii="仿宋" w:eastAsia="仿宋" w:hAnsi="仿宋" w:cs="仿宋" w:hint="eastAsia"/>
          <w:sz w:val="32"/>
          <w:szCs w:val="32"/>
        </w:rPr>
        <w:t>10cm</w:t>
      </w:r>
      <w:r>
        <w:rPr>
          <w:rFonts w:ascii="仿宋" w:eastAsia="仿宋" w:hAnsi="仿宋" w:cs="仿宋" w:hint="eastAsia"/>
          <w:sz w:val="32"/>
          <w:szCs w:val="32"/>
        </w:rPr>
        <w:t>，且需以水表为准对齐安装。安装时结合现场情况采用图三或图四列出的相关管件。</w:t>
      </w:r>
    </w:p>
    <w:p w:rsidR="0051668F" w:rsidRDefault="00E31860">
      <w:pPr>
        <w:spacing w:line="360" w:lineRule="auto"/>
        <w:ind w:firstLineChars="200" w:firstLine="420"/>
        <w:rPr>
          <w:rFonts w:ascii="仿宋" w:eastAsia="仿宋" w:hAnsi="仿宋" w:cs="仿宋"/>
          <w:sz w:val="32"/>
          <w:szCs w:val="32"/>
        </w:rPr>
      </w:pPr>
      <w:r>
        <w:rPr>
          <w:noProof/>
        </w:rPr>
        <w:drawing>
          <wp:anchor distT="0" distB="0" distL="114300" distR="114300" simplePos="0" relativeHeight="251661312" behindDoc="0" locked="0" layoutInCell="1" allowOverlap="1">
            <wp:simplePos x="0" y="0"/>
            <wp:positionH relativeFrom="column">
              <wp:posOffset>2578735</wp:posOffset>
            </wp:positionH>
            <wp:positionV relativeFrom="paragraph">
              <wp:posOffset>47625</wp:posOffset>
            </wp:positionV>
            <wp:extent cx="3093085" cy="2299970"/>
            <wp:effectExtent l="0" t="0" r="12065" b="50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cstate="print"/>
                    <a:stretch>
                      <a:fillRect/>
                    </a:stretch>
                  </pic:blipFill>
                  <pic:spPr>
                    <a:xfrm>
                      <a:off x="0" y="0"/>
                      <a:ext cx="3093085" cy="2299970"/>
                    </a:xfrm>
                    <a:prstGeom prst="rect">
                      <a:avLst/>
                    </a:prstGeom>
                    <a:noFill/>
                    <a:ln>
                      <a:noFill/>
                    </a:ln>
                  </pic:spPr>
                </pic:pic>
              </a:graphicData>
            </a:graphic>
          </wp:anchor>
        </w:drawing>
      </w:r>
      <w:r>
        <w:rPr>
          <w:noProof/>
          <w:sz w:val="24"/>
        </w:rPr>
        <w:drawing>
          <wp:anchor distT="0" distB="0" distL="114300" distR="114300" simplePos="0" relativeHeight="251660288" behindDoc="0" locked="0" layoutInCell="1" allowOverlap="1">
            <wp:simplePos x="0" y="0"/>
            <wp:positionH relativeFrom="column">
              <wp:posOffset>-427355</wp:posOffset>
            </wp:positionH>
            <wp:positionV relativeFrom="paragraph">
              <wp:posOffset>76200</wp:posOffset>
            </wp:positionV>
            <wp:extent cx="2872105" cy="2282825"/>
            <wp:effectExtent l="0" t="0" r="4445" b="317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872105" cy="2282825"/>
                    </a:xfrm>
                    <a:prstGeom prst="rect">
                      <a:avLst/>
                    </a:prstGeom>
                    <a:noFill/>
                    <a:ln>
                      <a:noFill/>
                    </a:ln>
                  </pic:spPr>
                </pic:pic>
              </a:graphicData>
            </a:graphic>
          </wp:anchor>
        </w:drawing>
      </w:r>
    </w:p>
    <w:p w:rsidR="0051668F" w:rsidRDefault="00E31860">
      <w:pPr>
        <w:spacing w:line="360" w:lineRule="auto"/>
        <w:rPr>
          <w:rFonts w:ascii="仿宋" w:eastAsia="仿宋" w:hAnsi="仿宋" w:cs="仿宋"/>
          <w:b/>
          <w:bCs/>
          <w:sz w:val="24"/>
        </w:rPr>
      </w:pPr>
      <w:r>
        <w:rPr>
          <w:rFonts w:ascii="仿宋" w:eastAsia="仿宋" w:hAnsi="仿宋" w:cs="仿宋" w:hint="eastAsia"/>
          <w:b/>
          <w:bCs/>
          <w:sz w:val="24"/>
        </w:rPr>
        <w:lastRenderedPageBreak/>
        <w:t>图三</w:t>
      </w:r>
      <w:r>
        <w:rPr>
          <w:rFonts w:ascii="仿宋" w:eastAsia="仿宋" w:hAnsi="仿宋" w:cs="仿宋" w:hint="eastAsia"/>
          <w:b/>
          <w:bCs/>
          <w:sz w:val="24"/>
        </w:rPr>
        <w:t xml:space="preserve"> </w:t>
      </w:r>
      <w:r>
        <w:rPr>
          <w:rFonts w:ascii="仿宋" w:eastAsia="仿宋" w:hAnsi="仿宋" w:cs="仿宋" w:hint="eastAsia"/>
          <w:b/>
          <w:bCs/>
          <w:sz w:val="24"/>
        </w:rPr>
        <w:t>多个水表垂直并联安装示意图（一）</w:t>
      </w:r>
      <w:r>
        <w:rPr>
          <w:rFonts w:ascii="仿宋" w:eastAsia="仿宋" w:hAnsi="仿宋" w:cs="仿宋" w:hint="eastAsia"/>
          <w:b/>
          <w:bCs/>
          <w:sz w:val="24"/>
        </w:rPr>
        <w:t xml:space="preserve">   </w:t>
      </w:r>
      <w:r>
        <w:rPr>
          <w:rFonts w:ascii="仿宋" w:eastAsia="仿宋" w:hAnsi="仿宋" w:cs="仿宋" w:hint="eastAsia"/>
          <w:b/>
          <w:bCs/>
          <w:sz w:val="24"/>
        </w:rPr>
        <w:t>图四</w:t>
      </w:r>
      <w:r>
        <w:rPr>
          <w:rFonts w:ascii="仿宋" w:eastAsia="仿宋" w:hAnsi="仿宋" w:cs="仿宋" w:hint="eastAsia"/>
          <w:b/>
          <w:bCs/>
          <w:sz w:val="24"/>
        </w:rPr>
        <w:t xml:space="preserve"> </w:t>
      </w:r>
      <w:r>
        <w:rPr>
          <w:rFonts w:ascii="仿宋" w:eastAsia="仿宋" w:hAnsi="仿宋" w:cs="仿宋" w:hint="eastAsia"/>
          <w:b/>
          <w:bCs/>
          <w:sz w:val="24"/>
        </w:rPr>
        <w:t>多个水表垂直并联安装示意图（二）</w:t>
      </w:r>
      <w:r>
        <w:rPr>
          <w:rFonts w:ascii="仿宋" w:eastAsia="仿宋" w:hAnsi="仿宋" w:cs="仿宋" w:hint="eastAsia"/>
          <w:b/>
          <w:bCs/>
          <w:sz w:val="24"/>
        </w:rPr>
        <w:t xml:space="preserve"> </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多表运行应采用分水器，减少管道水阻。分水器应根据设计要求布置，分水器应固定在顶板、混凝土底板或墙体上，定位后应设置管卡。分水器配水口的甩口方向应符合设计要求，布管时应避免管道交叉并以合理的距离</w:t>
      </w:r>
      <w:r>
        <w:rPr>
          <w:rFonts w:ascii="仿宋" w:eastAsia="仿宋" w:hAnsi="仿宋" w:cs="仿宋" w:hint="eastAsia"/>
          <w:sz w:val="32"/>
          <w:szCs w:val="32"/>
        </w:rPr>
        <w:t>和走向到达配水点，管道转弯半径不应小于</w:t>
      </w:r>
      <w:r>
        <w:rPr>
          <w:rFonts w:ascii="仿宋" w:eastAsia="仿宋" w:hAnsi="仿宋" w:cs="仿宋" w:hint="eastAsia"/>
          <w:sz w:val="32"/>
          <w:szCs w:val="32"/>
        </w:rPr>
        <w:t>10</w:t>
      </w:r>
      <w:r>
        <w:rPr>
          <w:rFonts w:ascii="仿宋" w:eastAsia="仿宋" w:hAnsi="仿宋" w:cs="仿宋" w:hint="eastAsia"/>
          <w:sz w:val="32"/>
          <w:szCs w:val="32"/>
        </w:rPr>
        <w:t>倍管材外径。</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（三）如有共用出水口的多表运行，应在每台水表的下游安装止回阀，防止倒流。</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对于多表运行，应配备一个装置固定在每台水表上或紧靠水表处，以便保护水表组晃动产生水量损失，确认每台水表正常计量。</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（五）并联安装的水表数量原则上不得超过</w:t>
      </w:r>
      <w:r>
        <w:rPr>
          <w:rFonts w:ascii="仿宋" w:eastAsia="仿宋" w:hAnsi="仿宋" w:cs="仿宋" w:hint="eastAsia"/>
          <w:sz w:val="32"/>
          <w:szCs w:val="32"/>
        </w:rPr>
        <w:t>5</w:t>
      </w:r>
      <w:r>
        <w:rPr>
          <w:rFonts w:ascii="仿宋" w:eastAsia="仿宋" w:hAnsi="仿宋" w:cs="仿宋" w:hint="eastAsia"/>
          <w:sz w:val="32"/>
          <w:szCs w:val="32"/>
        </w:rPr>
        <w:t>只。</w:t>
      </w:r>
    </w:p>
    <w:p w:rsidR="0051668F" w:rsidRDefault="00E31860">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无论是单表运行还是多表运行，在保证安装现场具备足够的施工条件同时，每一台水表都应易于接近以方便度数（例如，不需借助梯子或者其他工具）、安装、维护、拆卸。</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应避免水表承受由管道和管件造成的过度应力。必要时，应将水表安装在底座或托架上。</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b/>
          <w:bCs/>
          <w:sz w:val="32"/>
          <w:szCs w:val="32"/>
        </w:rPr>
        <w:t xml:space="preserve"> </w:t>
      </w:r>
      <w:r>
        <w:rPr>
          <w:rFonts w:ascii="仿宋" w:eastAsia="仿宋" w:hAnsi="仿宋" w:cs="仿宋" w:hint="eastAsia"/>
          <w:sz w:val="32"/>
          <w:szCs w:val="32"/>
        </w:rPr>
        <w:t>水管和管件应适当固定，以保证在拆除水表或断开一侧连接时，任何部分都不会因水的推力而移位。</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b/>
          <w:bCs/>
          <w:sz w:val="32"/>
          <w:szCs w:val="32"/>
        </w:rPr>
        <w:t xml:space="preserve"> </w:t>
      </w:r>
      <w:r>
        <w:rPr>
          <w:rFonts w:ascii="仿宋" w:eastAsia="仿宋" w:hAnsi="仿宋" w:cs="仿宋" w:hint="eastAsia"/>
          <w:sz w:val="32"/>
          <w:szCs w:val="32"/>
        </w:rPr>
        <w:t>禁止将新装水表，水管作为电接地组成部分。若存在水表成为电接地组成部分的情况，为保证工作人员的</w:t>
      </w:r>
      <w:r>
        <w:rPr>
          <w:rFonts w:ascii="仿宋" w:eastAsia="仿宋" w:hAnsi="仿宋" w:cs="仿宋" w:hint="eastAsia"/>
          <w:sz w:val="32"/>
          <w:szCs w:val="32"/>
        </w:rPr>
        <w:lastRenderedPageBreak/>
        <w:t>安全，应为水表及其相关管件设置永久性旁路。</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b/>
          <w:bCs/>
          <w:sz w:val="32"/>
          <w:szCs w:val="32"/>
        </w:rPr>
        <w:t xml:space="preserve"> </w:t>
      </w:r>
      <w:r>
        <w:rPr>
          <w:rFonts w:ascii="仿宋" w:eastAsia="仿宋" w:hAnsi="仿宋" w:cs="仿宋" w:hint="eastAsia"/>
          <w:sz w:val="32"/>
          <w:szCs w:val="32"/>
        </w:rPr>
        <w:t>水表上应安装可以加封印的防护装置，使水表加封印和正确安装以后，不明显损坏防护装置就不可能拆卸水表或水表的调节装置。</w:t>
      </w:r>
    </w:p>
    <w:p w:rsidR="0051668F" w:rsidRDefault="00E31860">
      <w:pPr>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b/>
          <w:bCs/>
          <w:sz w:val="32"/>
          <w:szCs w:val="32"/>
        </w:rPr>
        <w:t xml:space="preserve"> </w:t>
      </w:r>
      <w:r>
        <w:rPr>
          <w:rFonts w:ascii="仿宋" w:eastAsia="仿宋" w:hAnsi="仿宋" w:cs="仿宋" w:hint="eastAsia"/>
          <w:sz w:val="32"/>
          <w:szCs w:val="32"/>
        </w:rPr>
        <w:t>新装水表建议安装止回阀，防止出现水表倒流和水表空</w:t>
      </w:r>
      <w:r>
        <w:rPr>
          <w:rFonts w:ascii="仿宋" w:eastAsia="仿宋" w:hAnsi="仿宋" w:cs="仿宋" w:hint="eastAsia"/>
          <w:sz w:val="32"/>
          <w:szCs w:val="32"/>
        </w:rPr>
        <w:t>转、自转现象。</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b/>
          <w:bCs/>
          <w:sz w:val="32"/>
          <w:szCs w:val="32"/>
        </w:rPr>
        <w:t xml:space="preserve"> </w:t>
      </w:r>
      <w:r>
        <w:rPr>
          <w:rFonts w:ascii="仿宋" w:eastAsia="仿宋" w:hAnsi="仿宋" w:cs="仿宋" w:hint="eastAsia"/>
          <w:sz w:val="32"/>
          <w:szCs w:val="32"/>
        </w:rPr>
        <w:t>水表安装前，相关施工人员需复核水表安装位置是否符合本指引的设置原则和安装要求。违反设置原则或不符安装合要求的，须通知施工单位或设计单位按要求整改。</w:t>
      </w:r>
    </w:p>
    <w:p w:rsidR="0051668F" w:rsidRDefault="00E31860">
      <w:pPr>
        <w:spacing w:line="360" w:lineRule="auto"/>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第三章</w:t>
      </w:r>
      <w:r>
        <w:rPr>
          <w:rFonts w:ascii="黑体" w:eastAsia="黑体" w:hAnsi="黑体" w:cs="黑体" w:hint="eastAsia"/>
          <w:b/>
          <w:bCs/>
          <w:sz w:val="32"/>
          <w:szCs w:val="32"/>
        </w:rPr>
        <w:t xml:space="preserve">  </w:t>
      </w:r>
      <w:r>
        <w:rPr>
          <w:rFonts w:ascii="黑体" w:eastAsia="黑体" w:hAnsi="黑体" w:cs="黑体" w:hint="eastAsia"/>
          <w:b/>
          <w:bCs/>
          <w:sz w:val="32"/>
          <w:szCs w:val="32"/>
        </w:rPr>
        <w:t>大口径水表安装技术要求</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b/>
          <w:bCs/>
          <w:sz w:val="32"/>
          <w:szCs w:val="32"/>
        </w:rPr>
        <w:t xml:space="preserve"> </w:t>
      </w:r>
      <w:r>
        <w:rPr>
          <w:rFonts w:ascii="仿宋" w:eastAsia="仿宋" w:hAnsi="仿宋" w:cs="仿宋" w:hint="eastAsia"/>
          <w:sz w:val="32"/>
          <w:szCs w:val="32"/>
        </w:rPr>
        <w:t>水表的设计、安装应符合《饮用冷水水表和热水水表》（</w:t>
      </w:r>
      <w:r>
        <w:rPr>
          <w:rFonts w:ascii="仿宋" w:eastAsia="仿宋" w:hAnsi="仿宋" w:cs="仿宋" w:hint="eastAsia"/>
          <w:sz w:val="32"/>
          <w:szCs w:val="32"/>
        </w:rPr>
        <w:t>GB/T778.5-2018</w:t>
      </w:r>
      <w:r>
        <w:rPr>
          <w:rFonts w:ascii="仿宋" w:eastAsia="仿宋" w:hAnsi="仿宋" w:cs="仿宋" w:hint="eastAsia"/>
          <w:sz w:val="32"/>
          <w:szCs w:val="32"/>
        </w:rPr>
        <w:t>）内容要求。大口径水表安装标准示意图如图五所示。</w:t>
      </w:r>
    </w:p>
    <w:p w:rsidR="0051668F" w:rsidRDefault="00E31860">
      <w:pPr>
        <w:spacing w:line="360" w:lineRule="auto"/>
        <w:ind w:firstLineChars="200" w:firstLine="420"/>
        <w:rPr>
          <w:rFonts w:ascii="仿宋" w:eastAsia="仿宋" w:hAnsi="仿宋" w:cs="仿宋"/>
          <w:sz w:val="32"/>
          <w:szCs w:val="32"/>
        </w:rPr>
      </w:pPr>
      <w:r>
        <w:rPr>
          <w:noProof/>
        </w:rPr>
        <w:drawing>
          <wp:inline distT="0" distB="0" distL="114300" distR="114300">
            <wp:extent cx="5589905" cy="2424430"/>
            <wp:effectExtent l="0" t="0" r="1079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stretch>
                      <a:fillRect/>
                    </a:stretch>
                  </pic:blipFill>
                  <pic:spPr>
                    <a:xfrm>
                      <a:off x="0" y="0"/>
                      <a:ext cx="5589905" cy="2424430"/>
                    </a:xfrm>
                    <a:prstGeom prst="rect">
                      <a:avLst/>
                    </a:prstGeom>
                    <a:noFill/>
                    <a:ln>
                      <a:noFill/>
                    </a:ln>
                  </pic:spPr>
                </pic:pic>
              </a:graphicData>
            </a:graphic>
          </wp:inline>
        </w:drawing>
      </w:r>
    </w:p>
    <w:p w:rsidR="0051668F" w:rsidRDefault="00E31860">
      <w:pPr>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图五</w:t>
      </w:r>
      <w:r>
        <w:rPr>
          <w:rFonts w:ascii="仿宋" w:eastAsia="仿宋" w:hAnsi="仿宋" w:cs="仿宋" w:hint="eastAsia"/>
          <w:b/>
          <w:bCs/>
          <w:sz w:val="28"/>
          <w:szCs w:val="28"/>
        </w:rPr>
        <w:t xml:space="preserve"> </w:t>
      </w:r>
      <w:r>
        <w:rPr>
          <w:rFonts w:ascii="仿宋" w:eastAsia="仿宋" w:hAnsi="仿宋" w:cs="仿宋" w:hint="eastAsia"/>
          <w:b/>
          <w:bCs/>
          <w:sz w:val="28"/>
          <w:szCs w:val="28"/>
        </w:rPr>
        <w:t>大口径水表安装标准示意图</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b/>
          <w:bCs/>
          <w:sz w:val="32"/>
          <w:szCs w:val="32"/>
        </w:rPr>
        <w:t xml:space="preserve"> </w:t>
      </w:r>
      <w:r>
        <w:rPr>
          <w:rFonts w:ascii="仿宋" w:eastAsia="仿宋" w:hAnsi="仿宋" w:cs="仿宋" w:hint="eastAsia"/>
          <w:sz w:val="32"/>
          <w:szCs w:val="32"/>
        </w:rPr>
        <w:t>水表在设计和安装时必须预留足够的直管段。</w:t>
      </w:r>
      <w:r>
        <w:rPr>
          <w:rFonts w:ascii="仿宋" w:eastAsia="仿宋" w:hAnsi="仿宋" w:cs="仿宋" w:hint="eastAsia"/>
          <w:sz w:val="32"/>
          <w:szCs w:val="32"/>
        </w:rPr>
        <w:lastRenderedPageBreak/>
        <w:t>为保障水表计量准确，性能稳定，水表安装应满足直管段前</w:t>
      </w:r>
      <w:r>
        <w:rPr>
          <w:rFonts w:ascii="仿宋" w:eastAsia="仿宋" w:hAnsi="仿宋" w:cs="仿宋" w:hint="eastAsia"/>
          <w:sz w:val="32"/>
          <w:szCs w:val="32"/>
        </w:rPr>
        <w:t>10</w:t>
      </w:r>
      <w:r>
        <w:rPr>
          <w:rFonts w:ascii="仿宋" w:eastAsia="仿宋" w:hAnsi="仿宋" w:cs="仿宋" w:hint="eastAsia"/>
          <w:sz w:val="32"/>
          <w:szCs w:val="32"/>
        </w:rPr>
        <w:t>后</w:t>
      </w:r>
      <w:r>
        <w:rPr>
          <w:rFonts w:ascii="仿宋" w:eastAsia="仿宋" w:hAnsi="仿宋" w:cs="仿宋" w:hint="eastAsia"/>
          <w:sz w:val="32"/>
          <w:szCs w:val="32"/>
        </w:rPr>
        <w:t>10D</w:t>
      </w:r>
      <w:r>
        <w:rPr>
          <w:rFonts w:ascii="仿宋" w:eastAsia="仿宋" w:hAnsi="仿宋" w:cs="仿宋" w:hint="eastAsia"/>
          <w:sz w:val="32"/>
          <w:szCs w:val="32"/>
        </w:rPr>
        <w:t>要求；如现场条件受限或水表表前装有阀门、弯管、三通以及变径的情况时，水表的直管段应至少保证前</w:t>
      </w:r>
      <w:r>
        <w:rPr>
          <w:rFonts w:ascii="仿宋" w:eastAsia="仿宋" w:hAnsi="仿宋" w:cs="仿宋" w:hint="eastAsia"/>
          <w:sz w:val="32"/>
          <w:szCs w:val="32"/>
        </w:rPr>
        <w:t>10D</w:t>
      </w:r>
      <w:r>
        <w:rPr>
          <w:rFonts w:ascii="仿宋" w:eastAsia="仿宋" w:hAnsi="仿宋" w:cs="仿宋" w:hint="eastAsia"/>
          <w:sz w:val="32"/>
          <w:szCs w:val="32"/>
        </w:rPr>
        <w:t>后</w:t>
      </w:r>
      <w:r>
        <w:rPr>
          <w:rFonts w:ascii="仿宋" w:eastAsia="仿宋" w:hAnsi="仿宋" w:cs="仿宋" w:hint="eastAsia"/>
          <w:sz w:val="32"/>
          <w:szCs w:val="32"/>
        </w:rPr>
        <w:t>5D</w:t>
      </w:r>
      <w:r>
        <w:rPr>
          <w:rFonts w:ascii="仿宋" w:eastAsia="仿宋" w:hAnsi="仿宋" w:cs="仿宋" w:hint="eastAsia"/>
          <w:sz w:val="32"/>
          <w:szCs w:val="32"/>
        </w:rPr>
        <w:t>；当受现场条件所限，前后直管段均无法保证的情况下，优先保证水表的前直管段。与制造商的说明书没有冲突时，也可在水表上游安装一个流动整直器，保持水流稳定以缩短直管段长度。</w:t>
      </w:r>
    </w:p>
    <w:p w:rsidR="0051668F" w:rsidRDefault="00E31860">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注意：所要求的水表直管段不包括水表本身及其连接螺母的长度，前后直管段内不得安装阀门。</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水表应水平安装，使字面朝上，且箭头方向与</w:t>
      </w:r>
      <w:r>
        <w:rPr>
          <w:rFonts w:ascii="仿宋" w:eastAsia="仿宋" w:hAnsi="仿宋" w:cs="仿宋" w:hint="eastAsia"/>
          <w:sz w:val="32"/>
          <w:szCs w:val="32"/>
        </w:rPr>
        <w:t>水流方向相同。</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水表不应直接与管道连接，水表与管道间应通过法兰、密封垫圈连接。所有注册水表应有表码、钢丝封、防盗环等设施。</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市政水表宜采用裸露安装，安装位置要避免冰冻、污染和水淹，不应被遮挡、骑压或掩埋。大口径水表安装位置宜选取在小区建筑用地退缩带的绿化带内、小区入口或用地红线边。并尽量靠近电源的建筑物。</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市政水表常设置在绿化带、田地、泥地等软质土内的，表组投影线两侧</w:t>
      </w:r>
      <w:r>
        <w:rPr>
          <w:rFonts w:ascii="仿宋" w:eastAsia="仿宋" w:hAnsi="仿宋" w:cs="仿宋" w:hint="eastAsia"/>
          <w:sz w:val="32"/>
          <w:szCs w:val="32"/>
        </w:rPr>
        <w:t>0.3</w:t>
      </w:r>
      <w:r>
        <w:rPr>
          <w:rFonts w:ascii="仿宋" w:eastAsia="仿宋" w:hAnsi="仿宋" w:cs="仿宋" w:hint="eastAsia"/>
          <w:sz w:val="32"/>
          <w:szCs w:val="32"/>
        </w:rPr>
        <w:t>米范围内的地面须作硬底化处理，且需有可通行的进出道路。</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DN100</w:t>
      </w:r>
      <w:r>
        <w:rPr>
          <w:rFonts w:ascii="仿宋" w:eastAsia="仿宋" w:hAnsi="仿宋" w:cs="仿宋" w:hint="eastAsia"/>
          <w:sz w:val="32"/>
          <w:szCs w:val="32"/>
        </w:rPr>
        <w:t>及以上市政水表底部距地面净空距</w:t>
      </w:r>
      <w:r>
        <w:rPr>
          <w:rFonts w:ascii="仿宋" w:eastAsia="仿宋" w:hAnsi="仿宋" w:cs="仿宋" w:hint="eastAsia"/>
          <w:sz w:val="32"/>
          <w:szCs w:val="32"/>
        </w:rPr>
        <w:lastRenderedPageBreak/>
        <w:t>离不</w:t>
      </w:r>
      <w:r>
        <w:rPr>
          <w:rFonts w:ascii="仿宋" w:eastAsia="仿宋" w:hAnsi="仿宋" w:cs="仿宋" w:hint="eastAsia"/>
          <w:sz w:val="32"/>
          <w:szCs w:val="32"/>
        </w:rPr>
        <w:t>少于</w:t>
      </w:r>
      <w:r>
        <w:rPr>
          <w:rFonts w:ascii="仿宋" w:eastAsia="仿宋" w:hAnsi="仿宋" w:cs="仿宋" w:hint="eastAsia"/>
          <w:sz w:val="32"/>
          <w:szCs w:val="32"/>
        </w:rPr>
        <w:t>0.5M</w:t>
      </w:r>
      <w:r>
        <w:rPr>
          <w:rFonts w:ascii="仿宋" w:eastAsia="仿宋" w:hAnsi="仿宋" w:cs="仿宋" w:hint="eastAsia"/>
          <w:sz w:val="32"/>
          <w:szCs w:val="32"/>
        </w:rPr>
        <w:t>。</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第二十四条</w:t>
      </w:r>
      <w:r>
        <w:rPr>
          <w:rFonts w:ascii="仿宋" w:eastAsia="仿宋" w:hAnsi="仿宋" w:cs="仿宋" w:hint="eastAsia"/>
          <w:b/>
          <w:bCs/>
          <w:sz w:val="32"/>
          <w:szCs w:val="32"/>
        </w:rPr>
        <w:t xml:space="preserve"> </w:t>
      </w:r>
      <w:r>
        <w:rPr>
          <w:rFonts w:ascii="仿宋" w:eastAsia="仿宋" w:hAnsi="仿宋" w:cs="仿宋" w:hint="eastAsia"/>
          <w:sz w:val="32"/>
          <w:szCs w:val="32"/>
        </w:rPr>
        <w:t>在保证安装现场具备足够的施工条件同时，大口径水表应易于接近以方便读数（例如，不需借用镜子或梯子）、安装、维护、拆卸。</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第二十五条</w:t>
      </w:r>
      <w:r>
        <w:rPr>
          <w:rFonts w:ascii="仿宋" w:eastAsia="仿宋" w:hAnsi="仿宋" w:cs="仿宋" w:hint="eastAsia"/>
          <w:b/>
          <w:bCs/>
          <w:sz w:val="32"/>
          <w:szCs w:val="32"/>
        </w:rPr>
        <w:t xml:space="preserve"> </w:t>
      </w:r>
      <w:r>
        <w:rPr>
          <w:rFonts w:ascii="仿宋" w:eastAsia="仿宋" w:hAnsi="仿宋" w:cs="仿宋" w:hint="eastAsia"/>
          <w:sz w:val="32"/>
          <w:szCs w:val="32"/>
        </w:rPr>
        <w:t>DN100</w:t>
      </w:r>
      <w:r>
        <w:rPr>
          <w:rFonts w:ascii="仿宋" w:eastAsia="仿宋" w:hAnsi="仿宋" w:cs="仿宋" w:hint="eastAsia"/>
          <w:sz w:val="32"/>
          <w:szCs w:val="32"/>
        </w:rPr>
        <w:t>及以上的市政水表表前必须设置过滤器，表后必须设置止回阀或者倒流防止器。</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多个市政水表组并排安装时，每个表组间水平净空距离不得少于</w:t>
      </w:r>
      <w:r>
        <w:rPr>
          <w:rFonts w:ascii="仿宋" w:eastAsia="仿宋" w:hAnsi="仿宋" w:cs="仿宋" w:hint="eastAsia"/>
          <w:sz w:val="32"/>
          <w:szCs w:val="32"/>
        </w:rPr>
        <w:t>0.5M</w:t>
      </w:r>
      <w:r>
        <w:rPr>
          <w:rFonts w:ascii="仿宋" w:eastAsia="仿宋" w:hAnsi="仿宋" w:cs="仿宋" w:hint="eastAsia"/>
          <w:sz w:val="32"/>
          <w:szCs w:val="32"/>
        </w:rPr>
        <w:t>，且需以水表为准对齐安装。</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市政水表露出地面部分的管段、支墩、止回阀等需涂刷与阀门、水表颜色统一的油漆。在特殊路段或区域，政府相关部门对我公司管道及附属设施（包括水表组）外观涂色有统一要求的，按相关文件要求执行。</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为避免水表承受过度应力，根据水表组规格，应在表前阀门、水表、表后阀门下方砌筑支承墩。</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第二十九条</w:t>
      </w:r>
      <w:r>
        <w:rPr>
          <w:rFonts w:ascii="仿宋" w:eastAsia="仿宋" w:hAnsi="仿宋" w:cs="仿宋" w:hint="eastAsia"/>
          <w:b/>
          <w:bCs/>
          <w:sz w:val="32"/>
          <w:szCs w:val="32"/>
        </w:rPr>
        <w:t xml:space="preserve"> </w:t>
      </w:r>
      <w:r>
        <w:rPr>
          <w:rFonts w:ascii="仿宋" w:eastAsia="仿宋" w:hAnsi="仿宋" w:cs="仿宋" w:hint="eastAsia"/>
          <w:sz w:val="32"/>
          <w:szCs w:val="32"/>
        </w:rPr>
        <w:t>如对水表表箱的样式、外观有特别要求的，需经公司项目实施部室批准方可实施。水表箱均需按设计单位提供的图纸施工制造。水表表箱应统一尺寸、材质及外观，由设计单位负责绘制设计图并依照相关定额标准计算制作和安装费用。市政管道施工单位根据设计图纸制作表箱，表箱制作及安装费用应包含在对应供水项目工程的工程造价内。</w:t>
      </w:r>
    </w:p>
    <w:p w:rsidR="0051668F" w:rsidRDefault="0051668F">
      <w:pPr>
        <w:spacing w:line="360" w:lineRule="auto"/>
        <w:ind w:firstLineChars="200" w:firstLine="640"/>
        <w:rPr>
          <w:rFonts w:ascii="仿宋" w:eastAsia="仿宋" w:hAnsi="仿宋" w:cs="仿宋"/>
          <w:sz w:val="32"/>
          <w:szCs w:val="32"/>
        </w:rPr>
      </w:pPr>
    </w:p>
    <w:p w:rsidR="0051668F" w:rsidRDefault="00E31860">
      <w:pPr>
        <w:spacing w:line="360" w:lineRule="auto"/>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lastRenderedPageBreak/>
        <w:t>第四章</w:t>
      </w:r>
      <w:r>
        <w:rPr>
          <w:rFonts w:ascii="黑体" w:eastAsia="黑体" w:hAnsi="黑体" w:cs="黑体" w:hint="eastAsia"/>
          <w:b/>
          <w:bCs/>
          <w:sz w:val="32"/>
          <w:szCs w:val="32"/>
        </w:rPr>
        <w:t xml:space="preserve"> </w:t>
      </w:r>
      <w:r>
        <w:rPr>
          <w:rFonts w:ascii="黑体" w:eastAsia="黑体" w:hAnsi="黑体" w:cs="黑体" w:hint="eastAsia"/>
          <w:b/>
          <w:bCs/>
          <w:sz w:val="32"/>
          <w:szCs w:val="32"/>
        </w:rPr>
        <w:t>远传水表安装技术要求</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第三十条</w:t>
      </w:r>
      <w:r>
        <w:rPr>
          <w:rFonts w:ascii="仿宋" w:eastAsia="仿宋" w:hAnsi="仿宋" w:cs="仿宋" w:hint="eastAsia"/>
          <w:b/>
          <w:bCs/>
          <w:sz w:val="32"/>
          <w:szCs w:val="32"/>
        </w:rPr>
        <w:t xml:space="preserve">  </w:t>
      </w:r>
      <w:r>
        <w:rPr>
          <w:rFonts w:ascii="仿宋" w:eastAsia="仿宋" w:hAnsi="仿宋" w:cs="仿宋" w:hint="eastAsia"/>
          <w:sz w:val="32"/>
          <w:szCs w:val="32"/>
        </w:rPr>
        <w:t>远传水表</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远传水表是一种以机械式水表为流量计量基表，加装电子装置实现水量采集和数据处理、存储、远传传输等功能的水表。远传水表根据信号传输方式分为有线和无线远传两种</w:t>
      </w:r>
      <w:r>
        <w:rPr>
          <w:rFonts w:ascii="仿宋" w:eastAsia="仿宋" w:hAnsi="仿宋" w:cs="仿宋" w:hint="eastAsia"/>
          <w:sz w:val="32"/>
          <w:szCs w:val="32"/>
        </w:rPr>
        <w:t>。</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远传水表组成及功能</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远传水表由基表、集中器、数据监控平台组成。系统组成具体见图</w:t>
      </w:r>
      <w:r>
        <w:rPr>
          <w:rFonts w:ascii="仿宋" w:eastAsia="仿宋" w:hAnsi="仿宋" w:cs="仿宋" w:hint="eastAsia"/>
          <w:sz w:val="32"/>
          <w:szCs w:val="32"/>
        </w:rPr>
        <w:t xml:space="preserve"> </w:t>
      </w:r>
      <w:r>
        <w:rPr>
          <w:rFonts w:ascii="仿宋" w:eastAsia="仿宋" w:hAnsi="仿宋" w:cs="仿宋" w:hint="eastAsia"/>
          <w:sz w:val="32"/>
          <w:szCs w:val="32"/>
        </w:rPr>
        <w:t>：</w:t>
      </w:r>
    </w:p>
    <w:p w:rsidR="0051668F" w:rsidRDefault="0051668F">
      <w:pPr>
        <w:spacing w:line="360" w:lineRule="auto"/>
        <w:ind w:firstLineChars="200" w:firstLine="640"/>
        <w:rPr>
          <w:rFonts w:ascii="仿宋" w:eastAsia="仿宋" w:hAnsi="仿宋" w:cs="仿宋"/>
          <w:sz w:val="32"/>
          <w:szCs w:val="32"/>
        </w:rPr>
      </w:pPr>
      <w:r>
        <w:rPr>
          <w:rFonts w:ascii="仿宋" w:eastAsia="仿宋" w:hAnsi="仿宋" w:cs="仿宋"/>
          <w:sz w:val="32"/>
          <w:szCs w:val="32"/>
        </w:rPr>
        <w:pict>
          <v:group id="组合 3" o:spid="_x0000_s1027" style="position:absolute;left:0;text-align:left;margin-left:79.95pt;margin-top:11.1pt;width:429.75pt;height:124.25pt;z-index:-251653120;mso-position-horizontal-relative:page" coordorigin="1599,311" coordsize="8895,2561203" o:gfxdata="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z8yGh2gAAAAsBAAAPAAAAAAAAAAEAIAAAACIAAABkcnMv&#10;ZG93bnJldi54bWxQSwECFAAUAAAACACHTuJAkCJ9aswJAAAuSAAADgAAAAAAAAABACAAAAApAQAA&#10;ZHJzL2Uyb0RvYy54bWxQSwUGAAAAAAYABgBZAQAAZw0AAAAA&#10;">
            <v:line id="直线 4" o:spid="_x0000_s1026" style="position:absolute" from="1623,2658" to="2497,2671"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rect id="矩形 5" o:spid="_x0000_s1049" style="position:absolute;left:2470;top:2446;width:1247;height:425" o:gfxdata="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GJhPugAAANsA&#10;AAAPAAAAAAAAAAEAIAAAACIAAABkcnMvZG93bnJldi54bWxQSwECFAAUAAAACACHTuJAMy8FnjsA&#10;AAA5AAAAEAAAAAAAAAABACAAAAAJAQAAZHJzL3NoYXBleG1sLnhtbFBLBQYAAAAABgAGAFsBAACz&#10;AwAAAAA=&#10;" stroked="f"/>
            <v:line id="直线 6" o:spid="_x0000_s1048" style="position:absolute;flip:y" from="1609,326" to="10460,34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line id="直线 7" o:spid="_x0000_s1047" style="position:absolute" from="1607,344" to="1623,2684"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line id="直线 8" o:spid="_x0000_s1046" style="position:absolute" from="10487,324" to="10487,2657"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line id="直线 9" o:spid="_x0000_s1045" style="position:absolute" from="4523,344" to="4527,2671"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line id="直线 10" o:spid="_x0000_s1044" style="position:absolute" from="7596,311" to="7596,2671"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rect id="矩形 11" o:spid="_x0000_s1043" style="position:absolute;left:5356;top:2432;width:1248;height:425"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filled="f"/>
            <v:line id="直线 12" o:spid="_x0000_s1042" style="position:absolute" from="3717,2659" to="5410,2663"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line id="直线 13" o:spid="_x0000_s1041" style="position:absolute;flip:y" from="6604,2685" to="8551,2690" o:gfxdata="UEsDBAoAAAAAAIdO4kAAAAAAAAAAAAAAAAAEAAAAZHJzL1BLAwQUAAAACACHTuJA5ST8c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3B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PxwvQAA&#10;ANsAAAAPAAAAAAAAAAEAIAAAACIAAABkcnMvZG93bnJldi54bWxQSwECFAAUAAAACACHTuJAMy8F&#10;njsAAAA5AAAAEAAAAAAAAAABACAAAAAMAQAAZHJzL3NoYXBleG1sLnhtbFBLBQYAAAAABgAGAFsB&#10;AAC2AwAAAAA=&#10;"/>
            <v:line id="直线 14" o:spid="_x0000_s1040" style="position:absolute;flip:x" from="9832,2657" to="10474,2659" o:gfxdata="UEsDBAoAAAAAAIdO4kAAAAAAAAAAAAAAAAAEAAAAZHJzL1BLAwQUAAAACACHTuJAimhZ670AAADb&#10;AAAADwAAAGRycy9kb3ducmV2LnhtbEWPQWsCMRSE7wX/Q3iCN03UU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FnrvQAA&#10;ANsAAAAPAAAAAAAAAAEAIAAAACIAAABkcnMvZG93bnJldi54bWxQSwECFAAUAAAACACHTuJAMy8F&#10;njsAAAA5AAAAEAAAAAAAAAABACAAAAAMAQAAZHJzL3NoYXBleG1sLnhtbFBLBQYAAAAABgAGAFsB&#10;AAC2AwAAAAA=&#10;"/>
            <v:shape id="任意多边形 15" o:spid="_x0000_s1039" style="position:absolute;left:6608;top:838;width:2523;height:617" coordsize="2523,617" o:spt="100" o:gfxdata="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qyjxK2AAAA2wAAAA8A&#10;AAAAAAAAAQAgAAAAIgAAAGRycy9kb3ducmV2LnhtbFBLAQIUABQAAAAIAIdO4kAzLwWeOwAAADkA&#10;AAAQAAAAAAAAAAEAIAAAAAUBAABkcnMvc2hhcGV4bWwueG1sUEsFBgAAAAAGAAYAWwEAAK8DAAAA&#10;AA==&#10;" adj="0,,0" path="m2403,496r58,121l2508,527r-51,l2453,523r,-6l2453,497r-50,-1xm2453,497r,20l2453,523r4,4l2468,527r5,-4l2473,517r,-20l2453,497xm2473,497r,20l2473,523r-5,4l2508,527r15,-29l2473,497xm2453,10r,487l2473,497r,-477l2463,20,2453,10xm2469,l4,,,5,,16r4,4l2453,20r,-10l2473,10r,-5l2469,xm2473,10r-20,l2463,20r10,l2473,10xe" fillcolor="black" stroked="f">
              <v:stroke joinstyle="round"/>
              <v:formulas/>
              <v:path o:connecttype="segments"/>
            </v:shape>
            <v:shape id="任意多边形 16" o:spid="_x0000_s1038" style="position:absolute;left:3029;top:796;width:2343;height:659" coordsize="2343,659" o:spt="100" o:gfxdata="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6W9wL4A&#10;AADbAAAADwAAAAAAAAABACAAAAAiAAAAZHJzL2Rvd25yZXYueG1sUEsBAhQAFAAAAAgAh07iQDMv&#10;BZ47AAAAOQAAABAAAAAAAAAAAQAgAAAADQEAAGRycy9zaGFwZXhtbC54bWxQSwUGAAAAAAYABgBb&#10;AQAAtwMAAAAA&#10;" adj="0,,0" path="m51,540l,542,66,659r39,-90l56,569r-5,-4l51,540xm71,539r-20,1l51,565r5,4l67,569r4,-4l71,539xm120,536r-49,3l71,565r-4,4l105,569r15,-33xm2223,50l57,50r-2,1l53,53r-2,2l50,58r1,482l71,539,70,70r-10,l70,60r2153,l2223,50xm2223,r,120l2323,70r-74,l2253,66r,-11l2249,50r74,l2223,xm70,60l60,70r10,l70,60xm2223,60l70,60r,10l2223,70r,-10xm2323,50r-74,l2253,55r,11l2249,70r74,l2343,60,2323,50xe" fillcolor="black" stroked="f">
              <v:stroke joinstyle="round"/>
              <v:formulas/>
              <v:path o:connecttype="segments"/>
            </v:shape>
            <v:shape id="任意多边形 17" o:spid="_x0000_s1037" style="position:absolute;left:3960;top:1609;width:4013;height:120" coordsize="4013,120" o:spt="100" o:gfxdata="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puna5AAAA2wAA&#10;AA8AAAAAAAAAAQAgAAAAIgAAAGRycy9kb3ducmV2LnhtbFBLAQIUABQAAAAIAIdO4kAzLwWeOwAA&#10;ADkAAAAQAAAAAAAAAAEAIAAAAAgBAABkcnMvc2hhcGV4bWwueG1sUEsFBgAAAAAGAAYAWwEAALID&#10;AAAAAA==&#10;" adj="0,,0" path="m120,l,60r120,60l120,70r-26,l90,66r,-11l94,50r26,l120,xm3893,r,120l3993,70r-74,l3923,66r,-11l3919,50r74,l3893,xm120,50r-26,l90,55r,11l94,70r26,l120,50xm3893,50l120,50r,20l3893,70r,-20xm3993,50r-74,l3923,55r,11l3919,70r74,l4013,60,3993,50xe" fillcolor="black" stroked="f">
              <v:stroke joinstyle="round"/>
              <v:formulas/>
              <v:path o:connecttype="segments"/>
            </v:shape>
            <v:shapetype id="_x0000_t202" coordsize="21600,21600" o:spt="202" path="m,l,21600r21600,l21600,xe">
              <v:stroke joinstyle="miter"/>
              <v:path gradientshapeok="t" o:connecttype="rect"/>
            </v:shapetype>
            <v:shape id="文本框 18" o:spid="_x0000_s1036" type="#_x0000_t202" style="position:absolute;left:3802;top:591;width:662;height:168"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filled="f" stroked="f">
              <v:textbox inset="0,0,0,0">
                <w:txbxContent>
                  <w:p w:rsidR="0051668F" w:rsidRDefault="00E31860">
                    <w:pPr>
                      <w:spacing w:line="167" w:lineRule="exact"/>
                      <w:jc w:val="left"/>
                      <w:rPr>
                        <w:sz w:val="15"/>
                      </w:rPr>
                    </w:pPr>
                    <w:r>
                      <w:rPr>
                        <w:sz w:val="15"/>
                      </w:rPr>
                      <w:t>有线</w:t>
                    </w:r>
                    <w:r>
                      <w:rPr>
                        <w:rFonts w:ascii="Times New Roman" w:eastAsia="Times New Roman"/>
                        <w:sz w:val="15"/>
                      </w:rPr>
                      <w:t>/</w:t>
                    </w:r>
                    <w:r>
                      <w:rPr>
                        <w:sz w:val="15"/>
                      </w:rPr>
                      <w:t>无线</w:t>
                    </w:r>
                  </w:p>
                </w:txbxContent>
              </v:textbox>
            </v:shape>
            <v:shape id="文本框 19" o:spid="_x0000_s1035" type="#_x0000_t202" style="position:absolute;left:7681;top:579;width:661;height:168"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filled="f" stroked="f">
              <v:textbox inset="0,0,0,0">
                <w:txbxContent>
                  <w:p w:rsidR="0051668F" w:rsidRDefault="00E31860">
                    <w:pPr>
                      <w:spacing w:line="167" w:lineRule="exact"/>
                      <w:jc w:val="left"/>
                      <w:rPr>
                        <w:sz w:val="15"/>
                      </w:rPr>
                    </w:pPr>
                    <w:r>
                      <w:rPr>
                        <w:sz w:val="15"/>
                      </w:rPr>
                      <w:t>有线</w:t>
                    </w:r>
                    <w:r>
                      <w:rPr>
                        <w:rFonts w:ascii="Times New Roman" w:eastAsia="Times New Roman"/>
                        <w:sz w:val="15"/>
                      </w:rPr>
                      <w:t>/</w:t>
                    </w:r>
                    <w:r>
                      <w:rPr>
                        <w:sz w:val="15"/>
                      </w:rPr>
                      <w:t>无线</w:t>
                    </w:r>
                  </w:p>
                </w:txbxContent>
              </v:textbox>
            </v:shape>
            <v:shape id="文本框 20" o:spid="_x0000_s1034" type="#_x0000_t202" style="position:absolute;left:5816;top:1751;width:323;height:152"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filled="f" stroked="f">
              <v:textbox inset="0,0,0,0">
                <w:txbxContent>
                  <w:p w:rsidR="0051668F" w:rsidRDefault="00E31860">
                    <w:pPr>
                      <w:spacing w:line="151" w:lineRule="exact"/>
                      <w:jc w:val="left"/>
                      <w:rPr>
                        <w:sz w:val="15"/>
                      </w:rPr>
                    </w:pPr>
                    <w:r>
                      <w:rPr>
                        <w:sz w:val="15"/>
                      </w:rPr>
                      <w:t>无线</w:t>
                    </w:r>
                  </w:p>
                </w:txbxContent>
              </v:textbox>
            </v:shape>
            <v:shape id="文本框 21" o:spid="_x0000_s1033" type="#_x0000_t202" style="position:absolute;left:8572;top:2441;width:1247;height:424" o:gfxdata="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7z4b4A&#10;AADbAAAADwAAAAAAAAABACAAAAAiAAAAZHJzL2Rvd25yZXYueG1sUEsBAhQAFAAAAAgAh07iQDMv&#10;BZ47AAAAOQAAABAAAAAAAAAAAQAgAAAADQEAAGRycy9zaGFwZXhtbC54bWxQSwUGAAAAAAYABgBb&#10;AQAAtwMAAAAA&#10;" filled="f">
              <v:textbox inset="0,0,0,0">
                <w:txbxContent>
                  <w:p w:rsidR="0051668F" w:rsidRDefault="00E31860">
                    <w:pPr>
                      <w:spacing w:before="103"/>
                      <w:ind w:left="196"/>
                      <w:jc w:val="left"/>
                    </w:pPr>
                    <w:r>
                      <w:t>数据处理</w:t>
                    </w:r>
                  </w:p>
                </w:txbxContent>
              </v:textbox>
            </v:shape>
            <v:shape id="文本框 22" o:spid="_x0000_s1032" type="#_x0000_t202" style="position:absolute;left:5356;top:2441;width:1248;height:424" o:gfxdata="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JWer4A&#10;AADbAAAADwAAAAAAAAABACAAAAAiAAAAZHJzL2Rvd25yZXYueG1sUEsBAhQAFAAAAAgAh07iQDMv&#10;BZ47AAAAOQAAABAAAAAAAAAAAQAgAAAADQEAAGRycy9zaGFwZXhtbC54bWxQSwUGAAAAAAYABgBb&#10;AQAAtwMAAAAA&#10;" filled="f">
              <v:textbox inset="0,0,0,0">
                <w:txbxContent>
                  <w:p w:rsidR="0051668F" w:rsidRDefault="00E31860">
                    <w:pPr>
                      <w:spacing w:before="89"/>
                      <w:ind w:left="198"/>
                      <w:jc w:val="left"/>
                    </w:pPr>
                    <w:r>
                      <w:t>数据传输</w:t>
                    </w:r>
                  </w:p>
                </w:txbxContent>
              </v:textbox>
            </v:shape>
            <v:shape id="文本框 23" o:spid="_x0000_s1031" type="#_x0000_t202" style="position:absolute;left:2470;top:2441;width:1247;height:424" o:gfxdata="UEsDBAoAAAAAAIdO4kAAAAAAAAAAAAAAAAAEAAAAZHJzL1BLAwQUAAAACACHTuJArCDIDb4AAADb&#10;AAAADwAAAGRycy9kb3ducmV2LnhtbEWPT2sCMRTE7wW/Q3hCL0UTC8q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DIDb4A&#10;AADbAAAADwAAAAAAAAABACAAAAAiAAAAZHJzL2Rvd25yZXYueG1sUEsBAhQAFAAAAAgAh07iQDMv&#10;BZ47AAAAOQAAABAAAAAAAAAAAQAgAAAADQEAAGRycy9zaGFwZXhtbC54bWxQSwUGAAAAAAYABgBb&#10;AQAAtwMAAAAA&#10;" filled="f">
              <v:textbox inset="0,0,0,0">
                <w:txbxContent>
                  <w:p w:rsidR="0051668F" w:rsidRDefault="00E31860">
                    <w:pPr>
                      <w:spacing w:before="103"/>
                      <w:ind w:left="196"/>
                      <w:jc w:val="left"/>
                    </w:pPr>
                    <w:r>
                      <w:t>数据采集</w:t>
                    </w:r>
                  </w:p>
                </w:txbxContent>
              </v:textbox>
            </v:shape>
            <v:shape id="文本框 24" o:spid="_x0000_s1030" type="#_x0000_t202" style="position:absolute;left:7973;top:1455;width:2268;height:426" o:gfxdata="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2xtlr4A&#10;AADbAAAADwAAAAAAAAABACAAAAAiAAAAZHJzL2Rvd25yZXYueG1sUEsBAhQAFAAAAAgAh07iQDMv&#10;BZ47AAAAOQAAABAAAAAAAAAAAQAgAAAADQEAAGRycy9zaGFwZXhtbC54bWxQSwUGAAAAAAYABgBb&#10;AQAAtwMAAAAA&#10;" filled="f">
              <v:textbox inset="0,0,0,0">
                <w:txbxContent>
                  <w:p w:rsidR="0051668F" w:rsidRDefault="00E31860">
                    <w:pPr>
                      <w:spacing w:before="98"/>
                      <w:ind w:left="180"/>
                      <w:jc w:val="left"/>
                    </w:pPr>
                    <w:r>
                      <w:t>数据监控与管理平台</w:t>
                    </w:r>
                  </w:p>
                </w:txbxContent>
              </v:textbox>
            </v:shape>
            <v:shape id="文本框 25" o:spid="_x0000_s1029" type="#_x0000_t202" style="position:absolute;left:2259;top:1455;width:1701;height:426" o:gfxdata="UEsDBAoAAAAAAIdO4kAAAAAAAAAAAAAAAAAEAAAAZHJzL1BLAwQUAAAACACHTuJAsvP55LoAAADb&#10;AAAADwAAAGRycy9kb3ducmV2LnhtbEVPy4rCMBTdD/gP4QpuhjFRGJ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8/nkugAAANsA&#10;AAAPAAAAAAAAAAEAIAAAACIAAABkcnMvZG93bnJldi54bWxQSwECFAAUAAAACACHTuJAMy8FnjsA&#10;AAA5AAAAEAAAAAAAAAABACAAAAAJAQAAZHJzL3NoYXBleG1sLnhtbFBLBQYAAAAABgAGAFsBAACz&#10;AwAAAAA=&#10;" filled="f">
              <v:textbox inset="0,0,0,0">
                <w:txbxContent>
                  <w:p w:rsidR="0051668F" w:rsidRDefault="00E31860">
                    <w:pPr>
                      <w:spacing w:before="98"/>
                      <w:ind w:left="424"/>
                      <w:jc w:val="left"/>
                    </w:pPr>
                    <w:r>
                      <w:t>远传水表</w:t>
                    </w:r>
                  </w:p>
                </w:txbxContent>
              </v:textbox>
            </v:shape>
            <v:shape id="文本框 26" o:spid="_x0000_s1028" type="#_x0000_t202" style="position:absolute;left:5356;top:635;width:1248;height:425" o:gfxdata="UEsDBAoAAAAAAIdO4kAAAAAAAAAAAAAAAAAEAAAAZHJzL1BLAwQUAAAACACHTuJA3b9cf74AAADb&#10;AAAADwAAAGRycy9kb3ducmV2LnhtbEWPQWsCMRSE74X+h/AKvRRNLCi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9cf74A&#10;AADbAAAADwAAAAAAAAABACAAAAAiAAAAZHJzL2Rvd25yZXYueG1sUEsBAhQAFAAAAAgAh07iQDMv&#10;BZ47AAAAOQAAABAAAAAAAAAAAQAgAAAADQEAAGRycy9zaGFwZXhtbC54bWxQSwUGAAAAAAYABgBb&#10;AQAAtwMAAAAA&#10;" filled="f">
              <v:textbox inset="0,0,0,0">
                <w:txbxContent>
                  <w:p w:rsidR="0051668F" w:rsidRDefault="00E31860">
                    <w:pPr>
                      <w:spacing w:before="96"/>
                      <w:ind w:left="301"/>
                      <w:jc w:val="left"/>
                    </w:pPr>
                    <w:r>
                      <w:t>集中器</w:t>
                    </w:r>
                  </w:p>
                </w:txbxContent>
              </v:textbox>
            </v:shape>
            <w10:wrap type="topAndBottom" anchorx="page"/>
          </v:group>
        </w:pict>
      </w:r>
    </w:p>
    <w:p w:rsidR="0051668F" w:rsidRDefault="00E31860">
      <w:pPr>
        <w:spacing w:line="360" w:lineRule="auto"/>
        <w:ind w:firstLineChars="1000" w:firstLine="2811"/>
        <w:rPr>
          <w:rFonts w:ascii="仿宋" w:eastAsia="仿宋" w:hAnsi="仿宋" w:cs="仿宋"/>
          <w:b/>
          <w:bCs/>
          <w:sz w:val="28"/>
          <w:szCs w:val="28"/>
        </w:rPr>
      </w:pPr>
      <w:r>
        <w:rPr>
          <w:rFonts w:ascii="仿宋" w:eastAsia="仿宋" w:hAnsi="仿宋" w:cs="仿宋" w:hint="eastAsia"/>
          <w:b/>
          <w:bCs/>
          <w:sz w:val="28"/>
          <w:szCs w:val="28"/>
        </w:rPr>
        <w:t>图六</w:t>
      </w:r>
      <w:r>
        <w:rPr>
          <w:rFonts w:ascii="仿宋" w:eastAsia="仿宋" w:hAnsi="仿宋" w:cs="仿宋" w:hint="eastAsia"/>
          <w:b/>
          <w:bCs/>
          <w:sz w:val="28"/>
          <w:szCs w:val="28"/>
        </w:rPr>
        <w:t xml:space="preserve"> </w:t>
      </w:r>
      <w:r>
        <w:rPr>
          <w:rFonts w:ascii="仿宋" w:eastAsia="仿宋" w:hAnsi="仿宋" w:cs="仿宋" w:hint="eastAsia"/>
          <w:b/>
          <w:bCs/>
          <w:sz w:val="28"/>
          <w:szCs w:val="28"/>
        </w:rPr>
        <w:t>远传水表系统组成示意图</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远传水表涉及的集中器和终端表具等，必须选择符合国家现行有关技术标准的产品。不得使用未经国家产品质量监督检验机构检测或认证的设备及材料。</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第三十三条</w:t>
      </w:r>
      <w:r>
        <w:rPr>
          <w:rFonts w:ascii="仿宋" w:eastAsia="仿宋" w:hAnsi="仿宋" w:cs="仿宋" w:hint="eastAsia"/>
          <w:sz w:val="32"/>
          <w:szCs w:val="32"/>
        </w:rPr>
        <w:t xml:space="preserve"> </w:t>
      </w:r>
      <w:bookmarkStart w:id="1" w:name="_bookmark4"/>
      <w:bookmarkEnd w:id="1"/>
      <w:r>
        <w:rPr>
          <w:rFonts w:ascii="仿宋" w:eastAsia="仿宋" w:hAnsi="仿宋" w:cs="仿宋" w:hint="eastAsia"/>
          <w:sz w:val="32"/>
          <w:szCs w:val="32"/>
        </w:rPr>
        <w:t>远传水表的选用除应符合现行国家标准《饮用冷水水表和热水水表</w:t>
      </w:r>
      <w:r>
        <w:rPr>
          <w:rFonts w:ascii="仿宋" w:eastAsia="仿宋" w:hAnsi="仿宋" w:cs="仿宋" w:hint="eastAsia"/>
          <w:sz w:val="32"/>
          <w:szCs w:val="32"/>
        </w:rPr>
        <w:t xml:space="preserve"> </w:t>
      </w:r>
      <w:r>
        <w:rPr>
          <w:rFonts w:ascii="仿宋" w:eastAsia="仿宋" w:hAnsi="仿宋" w:cs="仿宋" w:hint="eastAsia"/>
          <w:sz w:val="32"/>
          <w:szCs w:val="32"/>
        </w:rPr>
        <w:t>第</w:t>
      </w:r>
      <w:r>
        <w:rPr>
          <w:rFonts w:ascii="仿宋" w:eastAsia="仿宋" w:hAnsi="仿宋" w:cs="仿宋" w:hint="eastAsia"/>
          <w:sz w:val="32"/>
          <w:szCs w:val="32"/>
        </w:rPr>
        <w:t>1</w:t>
      </w:r>
      <w:r>
        <w:rPr>
          <w:rFonts w:ascii="仿宋" w:eastAsia="仿宋" w:hAnsi="仿宋" w:cs="仿宋" w:hint="eastAsia"/>
          <w:sz w:val="32"/>
          <w:szCs w:val="32"/>
        </w:rPr>
        <w:t>部分</w:t>
      </w:r>
      <w:r>
        <w:rPr>
          <w:rFonts w:ascii="仿宋" w:eastAsia="仿宋" w:hAnsi="仿宋" w:cs="仿宋" w:hint="eastAsia"/>
          <w:sz w:val="32"/>
          <w:szCs w:val="32"/>
        </w:rPr>
        <w:t>:</w:t>
      </w:r>
      <w:r>
        <w:rPr>
          <w:rFonts w:ascii="仿宋" w:eastAsia="仿宋" w:hAnsi="仿宋" w:cs="仿宋" w:hint="eastAsia"/>
          <w:sz w:val="32"/>
          <w:szCs w:val="32"/>
        </w:rPr>
        <w:t>计量要求和技术要求》</w:t>
      </w:r>
      <w:r>
        <w:rPr>
          <w:rFonts w:ascii="仿宋" w:eastAsia="仿宋" w:hAnsi="仿宋" w:cs="仿宋" w:hint="eastAsia"/>
          <w:sz w:val="32"/>
          <w:szCs w:val="32"/>
        </w:rPr>
        <w:t>GB/T 778</w:t>
      </w:r>
      <w:r>
        <w:rPr>
          <w:rFonts w:ascii="仿宋" w:eastAsia="仿宋" w:hAnsi="仿宋" w:cs="仿宋" w:hint="eastAsia"/>
          <w:sz w:val="32"/>
          <w:szCs w:val="32"/>
        </w:rPr>
        <w:t>的规定外，数据采集还应符合下列规定：</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支持有线或无线通信方式；无线通信应采用性能</w:t>
      </w:r>
      <w:r>
        <w:rPr>
          <w:rFonts w:ascii="仿宋" w:eastAsia="仿宋" w:hAnsi="仿宋" w:cs="仿宋" w:hint="eastAsia"/>
          <w:sz w:val="32"/>
          <w:szCs w:val="32"/>
        </w:rPr>
        <w:lastRenderedPageBreak/>
        <w:t>成熟、主流的方式；</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支持初始参数设置，采集频率可调节；</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支持多种方式抄读；</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支持现场和远程配置、调试及故障诊断；</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支持数据现场存储和电源失压数据恢复；</w:t>
      </w:r>
    </w:p>
    <w:p w:rsidR="0051668F" w:rsidRDefault="00E31860">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支持指令采集和定时采集模式，实现计量信息的采集、处理、储存和传送。</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第三十四条</w:t>
      </w:r>
      <w:r>
        <w:rPr>
          <w:rFonts w:ascii="仿宋" w:eastAsia="仿宋" w:hAnsi="仿宋" w:cs="仿宋" w:hint="eastAsia"/>
          <w:b/>
          <w:bCs/>
          <w:sz w:val="32"/>
          <w:szCs w:val="32"/>
        </w:rPr>
        <w:t xml:space="preserve"> </w:t>
      </w:r>
      <w:r>
        <w:rPr>
          <w:rFonts w:ascii="仿宋" w:eastAsia="仿宋" w:hAnsi="仿宋" w:cs="仿宋" w:hint="eastAsia"/>
          <w:sz w:val="32"/>
          <w:szCs w:val="32"/>
        </w:rPr>
        <w:t>远传水表应布置在不影响数据稳定采集与传输的场所，并留有检修空间。</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第三十五条</w:t>
      </w:r>
      <w:r>
        <w:rPr>
          <w:rFonts w:ascii="仿宋" w:eastAsia="仿宋" w:hAnsi="仿宋" w:cs="仿宋" w:hint="eastAsia"/>
          <w:sz w:val="32"/>
          <w:szCs w:val="32"/>
        </w:rPr>
        <w:t xml:space="preserve"> </w:t>
      </w:r>
      <w:r>
        <w:rPr>
          <w:rFonts w:ascii="仿宋" w:eastAsia="仿宋" w:hAnsi="仿宋" w:cs="仿宋" w:hint="eastAsia"/>
          <w:sz w:val="32"/>
          <w:szCs w:val="32"/>
        </w:rPr>
        <w:t>远传水表的供电和接地等应符合现行相关规定的要求。</w:t>
      </w:r>
    </w:p>
    <w:p w:rsidR="0051668F" w:rsidRDefault="00E31860">
      <w:pPr>
        <w:spacing w:line="360" w:lineRule="auto"/>
        <w:ind w:firstLineChars="200" w:firstLine="643"/>
        <w:rPr>
          <w:rFonts w:ascii="仿宋" w:eastAsia="仿宋" w:hAnsi="仿宋" w:cs="仿宋"/>
          <w:color w:val="0000FF"/>
          <w:sz w:val="32"/>
          <w:szCs w:val="32"/>
        </w:rPr>
      </w:pPr>
      <w:r>
        <w:rPr>
          <w:rFonts w:ascii="仿宋" w:eastAsia="仿宋" w:hAnsi="仿宋" w:cs="仿宋" w:hint="eastAsia"/>
          <w:b/>
          <w:bCs/>
          <w:sz w:val="32"/>
          <w:szCs w:val="32"/>
        </w:rPr>
        <w:t>第三十六条</w:t>
      </w:r>
      <w:r>
        <w:rPr>
          <w:rFonts w:ascii="仿宋" w:eastAsia="仿宋" w:hAnsi="仿宋" w:cs="仿宋" w:hint="eastAsia"/>
          <w:sz w:val="32"/>
          <w:szCs w:val="32"/>
        </w:rPr>
        <w:t xml:space="preserve"> </w:t>
      </w:r>
      <w:r>
        <w:rPr>
          <w:rFonts w:ascii="仿宋" w:eastAsia="仿宋" w:hAnsi="仿宋" w:cs="仿宋" w:hint="eastAsia"/>
          <w:sz w:val="32"/>
          <w:szCs w:val="32"/>
        </w:rPr>
        <w:t>有线远传水表安装要求</w:t>
      </w:r>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有线基表在设计和安装时必须预留足够的直管段。根据口径不同需满足本文第二章第五条或第三章第十九条的要求。</w:t>
      </w:r>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有线远传水表的集中器设置可采取壁挂式或嵌入式安装方式，宜设置在无电磁干扰场所；在楼梯或走道等公共场所时，高度距地面不宜小于</w:t>
      </w:r>
      <w:r>
        <w:rPr>
          <w:rFonts w:ascii="仿宋" w:eastAsia="仿宋" w:hAnsi="仿宋" w:cs="仿宋" w:hint="eastAsia"/>
          <w:sz w:val="32"/>
          <w:szCs w:val="32"/>
        </w:rPr>
        <w:t>1.8m</w:t>
      </w:r>
      <w:r>
        <w:rPr>
          <w:rFonts w:ascii="仿宋" w:eastAsia="仿宋" w:hAnsi="仿宋" w:cs="仿宋" w:hint="eastAsia"/>
          <w:sz w:val="32"/>
          <w:szCs w:val="32"/>
        </w:rPr>
        <w:t>。</w:t>
      </w:r>
      <w:bookmarkStart w:id="2" w:name="_bookmark5"/>
      <w:bookmarkStart w:id="3" w:name="_bookmark6"/>
      <w:bookmarkEnd w:id="2"/>
      <w:bookmarkEnd w:id="3"/>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集中器箱应带锁保护和防盗，当数据传输岀现故障时，集中器应具备断点续传功能。同时</w:t>
      </w:r>
      <w:r>
        <w:rPr>
          <w:rFonts w:ascii="仿宋" w:eastAsia="仿宋" w:hAnsi="仿宋" w:cs="仿宋" w:hint="eastAsia"/>
          <w:sz w:val="32"/>
          <w:szCs w:val="32"/>
        </w:rPr>
        <w:t>支持远传升级功能。</w:t>
      </w:r>
      <w:bookmarkStart w:id="4" w:name="_bookmark7"/>
      <w:bookmarkEnd w:id="4"/>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有线传输</w:t>
      </w:r>
      <w:r>
        <w:rPr>
          <w:rFonts w:ascii="仿宋" w:eastAsia="仿宋" w:hAnsi="仿宋" w:cs="仿宋" w:hint="eastAsia"/>
          <w:sz w:val="32"/>
          <w:szCs w:val="32"/>
        </w:rPr>
        <w:t>数据通讯应采用基于</w:t>
      </w:r>
      <w:r>
        <w:rPr>
          <w:rFonts w:ascii="仿宋" w:eastAsia="仿宋" w:hAnsi="仿宋" w:cs="仿宋" w:hint="eastAsia"/>
          <w:sz w:val="32"/>
          <w:szCs w:val="32"/>
        </w:rPr>
        <w:t>TCP/IP</w:t>
      </w:r>
      <w:r>
        <w:rPr>
          <w:rFonts w:ascii="仿宋" w:eastAsia="仿宋" w:hAnsi="仿宋" w:cs="仿宋" w:hint="eastAsia"/>
          <w:sz w:val="32"/>
          <w:szCs w:val="32"/>
        </w:rPr>
        <w:t>协议的数</w:t>
      </w:r>
      <w:r>
        <w:rPr>
          <w:rFonts w:ascii="仿宋" w:eastAsia="仿宋" w:hAnsi="仿宋" w:cs="仿宋" w:hint="eastAsia"/>
          <w:sz w:val="32"/>
          <w:szCs w:val="32"/>
        </w:rPr>
        <w:lastRenderedPageBreak/>
        <w:t>据网络，可采取有线组网方式。通讯方式应根据建</w:t>
      </w:r>
      <w:r>
        <w:rPr>
          <w:rFonts w:ascii="仿宋" w:eastAsia="仿宋" w:hAnsi="仿宋" w:cs="仿宋" w:hint="eastAsia"/>
          <w:sz w:val="32"/>
          <w:szCs w:val="32"/>
        </w:rPr>
        <w:t>筑物结构、安装条件、功能需求、管理使用要求和施工及通信成本等确定。</w:t>
      </w:r>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有线通信介质宜选用带屏蔽和防护功能的线缆。</w:t>
      </w:r>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每层楼水表间内需提供一个</w:t>
      </w:r>
      <w:r>
        <w:rPr>
          <w:rFonts w:ascii="仿宋" w:eastAsia="仿宋" w:hAnsi="仿宋" w:cs="仿宋" w:hint="eastAsia"/>
          <w:sz w:val="32"/>
          <w:szCs w:val="32"/>
        </w:rPr>
        <w:t>10A220V</w:t>
      </w:r>
      <w:r>
        <w:rPr>
          <w:rFonts w:ascii="仿宋" w:eastAsia="仿宋" w:hAnsi="仿宋" w:cs="仿宋" w:hint="eastAsia"/>
          <w:sz w:val="32"/>
          <w:szCs w:val="32"/>
        </w:rPr>
        <w:t>的电源插座配置集抄器并保证电源稳定；水表间内需设置排水设施与照明设施。不宜设置其他管线，如需设置其他管线时，不得妨碍水表组的安装与维修。</w:t>
      </w:r>
    </w:p>
    <w:p w:rsidR="0051668F" w:rsidRDefault="00E31860">
      <w:pPr>
        <w:numPr>
          <w:ilvl w:val="0"/>
          <w:numId w:val="2"/>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水表管井需预留一个</w:t>
      </w:r>
      <w:r>
        <w:rPr>
          <w:rFonts w:ascii="仿宋" w:eastAsia="仿宋" w:hAnsi="仿宋" w:cs="仿宋" w:hint="eastAsia"/>
          <w:sz w:val="32"/>
          <w:szCs w:val="32"/>
        </w:rPr>
        <w:t>25cm</w:t>
      </w:r>
      <w:r>
        <w:rPr>
          <w:rFonts w:ascii="仿宋" w:eastAsia="仿宋" w:hAnsi="仿宋" w:cs="仿宋" w:hint="eastAsia"/>
          <w:sz w:val="32"/>
          <w:szCs w:val="32"/>
        </w:rPr>
        <w:t>以上的管孔，预留一个穿楼板的套管，保证畅通用于安装集线器；如有地下室，套管需预留至地下室且穿好带线。</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第三十七条</w:t>
      </w:r>
      <w:r>
        <w:rPr>
          <w:rFonts w:ascii="仿宋" w:eastAsia="仿宋" w:hAnsi="仿宋" w:cs="仿宋" w:hint="eastAsia"/>
          <w:sz w:val="32"/>
          <w:szCs w:val="32"/>
        </w:rPr>
        <w:t xml:space="preserve"> </w:t>
      </w:r>
      <w:r>
        <w:rPr>
          <w:rFonts w:ascii="仿宋" w:eastAsia="仿宋" w:hAnsi="仿宋" w:cs="仿宋" w:hint="eastAsia"/>
          <w:sz w:val="32"/>
          <w:szCs w:val="32"/>
        </w:rPr>
        <w:t>有线远传水表线缆管道敷设</w:t>
      </w:r>
    </w:p>
    <w:p w:rsidR="0051668F" w:rsidRDefault="00E31860">
      <w:pPr>
        <w:numPr>
          <w:ilvl w:val="0"/>
          <w:numId w:val="3"/>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预埋管应在土建施工时穿好带线，管口应有保护措施。</w:t>
      </w:r>
    </w:p>
    <w:p w:rsidR="0051668F" w:rsidRDefault="00E31860">
      <w:pPr>
        <w:numPr>
          <w:ilvl w:val="0"/>
          <w:numId w:val="3"/>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线缆管道</w:t>
      </w:r>
      <w:r>
        <w:rPr>
          <w:rFonts w:ascii="仿宋" w:eastAsia="仿宋" w:hAnsi="仿宋" w:cs="仿宋" w:hint="eastAsia"/>
          <w:sz w:val="32"/>
          <w:szCs w:val="32"/>
        </w:rPr>
        <w:t>敷设应符合下列规定：</w:t>
      </w:r>
    </w:p>
    <w:p w:rsidR="0051668F" w:rsidRDefault="00E31860">
      <w:pPr>
        <w:numPr>
          <w:ilvl w:val="0"/>
          <w:numId w:val="4"/>
        </w:num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检查预埋管是否畅通；</w:t>
      </w:r>
    </w:p>
    <w:p w:rsidR="0051668F" w:rsidRDefault="00E31860">
      <w:pPr>
        <w:numPr>
          <w:ilvl w:val="0"/>
          <w:numId w:val="4"/>
        </w:num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地面线槽、槽架位置准确，安装牢固；</w:t>
      </w:r>
    </w:p>
    <w:p w:rsidR="0051668F" w:rsidRDefault="00E31860">
      <w:pPr>
        <w:numPr>
          <w:ilvl w:val="0"/>
          <w:numId w:val="4"/>
        </w:num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电缆走道及槽道的安装位置符合设计文件要求，电缆走道吊架的安装整齐牢固，垂直度、水平度应符合现行国家标准《机械设备安装工程施工及验收通用规范》</w:t>
      </w:r>
      <w:r>
        <w:rPr>
          <w:rFonts w:ascii="仿宋" w:eastAsia="仿宋" w:hAnsi="仿宋" w:cs="仿宋" w:hint="eastAsia"/>
          <w:sz w:val="32"/>
          <w:szCs w:val="32"/>
        </w:rPr>
        <w:t xml:space="preserve">GB 50231 </w:t>
      </w:r>
      <w:r>
        <w:rPr>
          <w:rFonts w:ascii="仿宋" w:eastAsia="仿宋" w:hAnsi="仿宋" w:cs="仿宋" w:hint="eastAsia"/>
          <w:sz w:val="32"/>
          <w:szCs w:val="32"/>
        </w:rPr>
        <w:t>的规定；</w:t>
      </w:r>
    </w:p>
    <w:p w:rsidR="0051668F" w:rsidRDefault="00E31860">
      <w:pPr>
        <w:numPr>
          <w:ilvl w:val="0"/>
          <w:numId w:val="4"/>
        </w:num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电缆沿墙单边或双边敷设时，墙壁上埋设的支承</w:t>
      </w:r>
      <w:r>
        <w:rPr>
          <w:rFonts w:ascii="仿宋" w:eastAsia="仿宋" w:hAnsi="仿宋" w:cs="仿宋" w:hint="eastAsia"/>
          <w:sz w:val="32"/>
          <w:szCs w:val="32"/>
        </w:rPr>
        <w:lastRenderedPageBreak/>
        <w:t>物牢固，沿水平方向的间隔距离均匀；</w:t>
      </w:r>
    </w:p>
    <w:p w:rsidR="0051668F" w:rsidRDefault="00E31860">
      <w:pPr>
        <w:numPr>
          <w:ilvl w:val="0"/>
          <w:numId w:val="4"/>
        </w:num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线槽内的各种连接螺栓由内向外固定，螺栓的尾部与线槽内壁齐平。</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第三十八条</w:t>
      </w:r>
      <w:r>
        <w:rPr>
          <w:rFonts w:ascii="仿宋" w:eastAsia="仿宋" w:hAnsi="仿宋" w:cs="仿宋" w:hint="eastAsia"/>
          <w:sz w:val="32"/>
          <w:szCs w:val="32"/>
        </w:rPr>
        <w:t xml:space="preserve"> </w:t>
      </w:r>
      <w:bookmarkStart w:id="5" w:name="_bookmark9"/>
      <w:bookmarkStart w:id="6" w:name="_bookmark10"/>
      <w:bookmarkEnd w:id="5"/>
      <w:bookmarkEnd w:id="6"/>
      <w:r>
        <w:rPr>
          <w:rFonts w:ascii="仿宋" w:eastAsia="仿宋" w:hAnsi="仿宋" w:cs="仿宋" w:hint="eastAsia"/>
          <w:sz w:val="32"/>
          <w:szCs w:val="32"/>
        </w:rPr>
        <w:t>无线远传水表安装要求</w:t>
      </w:r>
    </w:p>
    <w:p w:rsidR="0051668F" w:rsidRDefault="00E31860" w:rsidP="006B4ADF">
      <w:pPr>
        <w:numPr>
          <w:ilvl w:val="0"/>
          <w:numId w:val="5"/>
        </w:numPr>
        <w:spacing w:line="360" w:lineRule="auto"/>
        <w:ind w:leftChars="262" w:left="550" w:firstLineChars="100" w:firstLine="320"/>
        <w:rPr>
          <w:rFonts w:ascii="仿宋" w:eastAsia="仿宋" w:hAnsi="仿宋" w:cs="仿宋"/>
          <w:sz w:val="32"/>
          <w:szCs w:val="32"/>
        </w:rPr>
      </w:pPr>
      <w:r>
        <w:rPr>
          <w:rFonts w:ascii="仿宋" w:eastAsia="仿宋" w:hAnsi="仿宋" w:cs="仿宋" w:hint="eastAsia"/>
          <w:sz w:val="32"/>
          <w:szCs w:val="32"/>
        </w:rPr>
        <w:t>无线基表在设计和安装时必须预留足够的直管段。根据口径不同需满足本文第二章第五条或第三章第十九条的要求。</w:t>
      </w:r>
    </w:p>
    <w:p w:rsidR="0051668F" w:rsidRDefault="00E31860" w:rsidP="006B4ADF">
      <w:pPr>
        <w:numPr>
          <w:ilvl w:val="0"/>
          <w:numId w:val="5"/>
        </w:numPr>
        <w:spacing w:line="360" w:lineRule="auto"/>
        <w:ind w:leftChars="262" w:left="550" w:firstLineChars="100" w:firstLine="320"/>
        <w:rPr>
          <w:rFonts w:ascii="仿宋" w:eastAsia="仿宋" w:hAnsi="仿宋" w:cs="仿宋"/>
          <w:sz w:val="32"/>
          <w:szCs w:val="32"/>
        </w:rPr>
      </w:pPr>
      <w:r>
        <w:rPr>
          <w:rFonts w:ascii="仿宋" w:eastAsia="仿宋" w:hAnsi="仿宋" w:cs="仿宋" w:hint="eastAsia"/>
          <w:sz w:val="32"/>
          <w:szCs w:val="32"/>
        </w:rPr>
        <w:t>安装前需检测远传水表安装环境的通讯信号强度和稳定性，必须覆盖三大运营商通讯信号（移动、联通、电信）。</w:t>
      </w:r>
    </w:p>
    <w:p w:rsidR="0051668F" w:rsidRDefault="00E31860" w:rsidP="006B4ADF">
      <w:pPr>
        <w:numPr>
          <w:ilvl w:val="0"/>
          <w:numId w:val="5"/>
        </w:numPr>
        <w:spacing w:line="360" w:lineRule="auto"/>
        <w:ind w:leftChars="262" w:left="550" w:firstLineChars="100" w:firstLine="320"/>
        <w:rPr>
          <w:rFonts w:ascii="仿宋" w:eastAsia="仿宋" w:hAnsi="仿宋" w:cs="仿宋"/>
          <w:sz w:val="32"/>
          <w:szCs w:val="32"/>
        </w:rPr>
      </w:pPr>
      <w:r>
        <w:rPr>
          <w:rFonts w:ascii="仿宋" w:eastAsia="仿宋" w:hAnsi="仿宋" w:cs="仿宋" w:hint="eastAsia"/>
          <w:sz w:val="32"/>
          <w:szCs w:val="32"/>
        </w:rPr>
        <w:t>安装时判断表前表后管道及附属设施完好性。安装环境干燥，无腐蚀性介质。清除远传水表箱（井）内积水、杂物以及连接管段处麻丝、砂石等杂物。</w:t>
      </w:r>
    </w:p>
    <w:p w:rsidR="0051668F" w:rsidRDefault="00E31860" w:rsidP="006B4ADF">
      <w:pPr>
        <w:numPr>
          <w:ilvl w:val="0"/>
          <w:numId w:val="5"/>
        </w:numPr>
        <w:spacing w:line="360" w:lineRule="auto"/>
        <w:ind w:leftChars="262" w:left="550" w:firstLineChars="100" w:firstLine="320"/>
        <w:rPr>
          <w:rFonts w:ascii="仿宋" w:eastAsia="仿宋" w:hAnsi="仿宋" w:cs="仿宋"/>
          <w:sz w:val="32"/>
          <w:szCs w:val="32"/>
        </w:rPr>
      </w:pPr>
      <w:r>
        <w:rPr>
          <w:rFonts w:ascii="仿宋" w:eastAsia="仿宋" w:hAnsi="仿宋" w:cs="仿宋" w:hint="eastAsia"/>
          <w:sz w:val="32"/>
          <w:szCs w:val="32"/>
        </w:rPr>
        <w:t>安装完成后应进行无线信号线路测试，确定现场数据无线传输畅通。</w:t>
      </w:r>
    </w:p>
    <w:p w:rsidR="0051668F" w:rsidRDefault="00E31860" w:rsidP="006B4ADF">
      <w:pPr>
        <w:numPr>
          <w:ilvl w:val="0"/>
          <w:numId w:val="5"/>
        </w:numPr>
        <w:spacing w:line="360" w:lineRule="auto"/>
        <w:ind w:leftChars="262" w:left="550" w:firstLineChars="100" w:firstLine="320"/>
        <w:rPr>
          <w:rFonts w:ascii="仿宋" w:eastAsia="仿宋" w:hAnsi="仿宋" w:cs="仿宋"/>
          <w:sz w:val="32"/>
          <w:szCs w:val="32"/>
        </w:rPr>
      </w:pPr>
      <w:r>
        <w:rPr>
          <w:rFonts w:ascii="仿宋" w:eastAsia="仿宋" w:hAnsi="仿宋" w:cs="仿宋" w:hint="eastAsia"/>
          <w:sz w:val="32"/>
          <w:szCs w:val="32"/>
        </w:rPr>
        <w:t>水表应尽量避免设置安装在负一层及以下，现场条件允许，应增设水表防盗设置。</w:t>
      </w:r>
    </w:p>
    <w:p w:rsidR="0051668F" w:rsidRDefault="00E31860">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第三十九条</w:t>
      </w:r>
      <w:r>
        <w:rPr>
          <w:rFonts w:ascii="仿宋" w:eastAsia="仿宋" w:hAnsi="仿宋" w:cs="仿宋" w:hint="eastAsia"/>
          <w:sz w:val="32"/>
          <w:szCs w:val="32"/>
        </w:rPr>
        <w:t xml:space="preserve"> </w:t>
      </w:r>
      <w:r>
        <w:rPr>
          <w:rFonts w:ascii="仿宋" w:eastAsia="仿宋" w:hAnsi="仿宋" w:cs="仿宋" w:hint="eastAsia"/>
          <w:sz w:val="32"/>
          <w:szCs w:val="32"/>
        </w:rPr>
        <w:t>远传水表调试</w:t>
      </w:r>
    </w:p>
    <w:p w:rsidR="0051668F" w:rsidRDefault="00E3186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水表调试应在远传水表安装、线缆管道敷设、集中器安装完成后进行数据监控与管理平台调试，具体包含：</w:t>
      </w:r>
    </w:p>
    <w:p w:rsidR="0051668F" w:rsidRDefault="00E31860">
      <w:pPr>
        <w:numPr>
          <w:ilvl w:val="0"/>
          <w:numId w:val="6"/>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调试应包括设备的性能和系统的功能测试等内容。</w:t>
      </w:r>
    </w:p>
    <w:p w:rsidR="0051668F" w:rsidRDefault="00E31860">
      <w:pPr>
        <w:numPr>
          <w:ilvl w:val="0"/>
          <w:numId w:val="6"/>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lastRenderedPageBreak/>
        <w:t>调试前应对集中器和远传水表等信息进行注册登记，规范填写配表清单，使远传水表编号与用户地址匹配无误。</w:t>
      </w:r>
    </w:p>
    <w:p w:rsidR="0051668F" w:rsidRDefault="00E31860">
      <w:pPr>
        <w:numPr>
          <w:ilvl w:val="0"/>
          <w:numId w:val="6"/>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调试时应进行通断电、信号质量和数据上传等功能测试，完善参数设置。</w:t>
      </w:r>
    </w:p>
    <w:p w:rsidR="0051668F" w:rsidRDefault="00E31860">
      <w:pPr>
        <w:numPr>
          <w:ilvl w:val="0"/>
          <w:numId w:val="6"/>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调试完成后应形成调试报告。</w:t>
      </w:r>
    </w:p>
    <w:p w:rsidR="0051668F" w:rsidRDefault="00E31860">
      <w:pPr>
        <w:numPr>
          <w:ilvl w:val="0"/>
          <w:numId w:val="6"/>
        </w:num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正式启用前，应进行试运行复核与统计，试运行时间不少于一个抄表周期，复核与统计次数不少于</w:t>
      </w:r>
      <w:r>
        <w:rPr>
          <w:rFonts w:ascii="仿宋" w:eastAsia="仿宋" w:hAnsi="仿宋" w:cs="仿宋" w:hint="eastAsia"/>
          <w:sz w:val="32"/>
          <w:szCs w:val="32"/>
        </w:rPr>
        <w:t xml:space="preserve"> 3 </w:t>
      </w:r>
      <w:r>
        <w:rPr>
          <w:rFonts w:ascii="仿宋" w:eastAsia="仿宋" w:hAnsi="仿宋" w:cs="仿宋" w:hint="eastAsia"/>
          <w:sz w:val="32"/>
          <w:szCs w:val="32"/>
        </w:rPr>
        <w:t>次。</w:t>
      </w:r>
    </w:p>
    <w:p w:rsidR="0051668F" w:rsidRDefault="0051668F">
      <w:pPr>
        <w:spacing w:line="360" w:lineRule="auto"/>
        <w:rPr>
          <w:rFonts w:ascii="仿宋" w:eastAsia="仿宋" w:hAnsi="仿宋" w:cs="仿宋"/>
          <w:sz w:val="32"/>
          <w:szCs w:val="32"/>
        </w:rPr>
      </w:pPr>
    </w:p>
    <w:p w:rsidR="0051668F" w:rsidRDefault="00E31860">
      <w:pPr>
        <w:spacing w:line="360" w:lineRule="auto"/>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第五章</w:t>
      </w:r>
      <w:r>
        <w:rPr>
          <w:rFonts w:ascii="黑体" w:eastAsia="黑体" w:hAnsi="黑体" w:cs="黑体" w:hint="eastAsia"/>
          <w:b/>
          <w:bCs/>
          <w:sz w:val="32"/>
          <w:szCs w:val="32"/>
        </w:rPr>
        <w:t xml:space="preserve">  </w:t>
      </w:r>
      <w:r>
        <w:rPr>
          <w:rFonts w:ascii="黑体" w:eastAsia="黑体" w:hAnsi="黑体" w:cs="黑体" w:hint="eastAsia"/>
          <w:b/>
          <w:bCs/>
          <w:sz w:val="32"/>
          <w:szCs w:val="32"/>
        </w:rPr>
        <w:t>附则</w:t>
      </w:r>
    </w:p>
    <w:p w:rsidR="0051668F" w:rsidRDefault="00E31860">
      <w:pPr>
        <w:spacing w:line="360" w:lineRule="auto"/>
        <w:ind w:firstLineChars="300" w:firstLine="964"/>
        <w:rPr>
          <w:rFonts w:ascii="仿宋" w:eastAsia="仿宋" w:hAnsi="仿宋" w:cs="仿宋"/>
          <w:sz w:val="32"/>
          <w:szCs w:val="32"/>
        </w:rPr>
      </w:pPr>
      <w:r>
        <w:rPr>
          <w:rFonts w:ascii="仿宋" w:eastAsia="仿宋" w:hAnsi="仿宋" w:cs="仿宋" w:hint="eastAsia"/>
          <w:b/>
          <w:bCs/>
          <w:sz w:val="32"/>
          <w:szCs w:val="32"/>
        </w:rPr>
        <w:t>第四十条</w:t>
      </w:r>
      <w:r>
        <w:rPr>
          <w:rFonts w:ascii="仿宋" w:eastAsia="仿宋" w:hAnsi="仿宋" w:cs="仿宋" w:hint="eastAsia"/>
          <w:sz w:val="32"/>
          <w:szCs w:val="32"/>
        </w:rPr>
        <w:t xml:space="preserve"> </w:t>
      </w:r>
      <w:r>
        <w:rPr>
          <w:rFonts w:ascii="仿宋" w:eastAsia="仿宋" w:hAnsi="仿宋" w:cs="仿宋" w:hint="eastAsia"/>
          <w:sz w:val="32"/>
          <w:szCs w:val="32"/>
        </w:rPr>
        <w:t>本指引由公司表务中心负责解释</w:t>
      </w:r>
    </w:p>
    <w:p w:rsidR="0051668F" w:rsidRDefault="00E31860">
      <w:pPr>
        <w:ind w:firstLineChars="300" w:firstLine="964"/>
      </w:pPr>
      <w:r>
        <w:rPr>
          <w:rFonts w:ascii="仿宋" w:eastAsia="仿宋" w:hAnsi="仿宋" w:cs="仿宋" w:hint="eastAsia"/>
          <w:b/>
          <w:bCs/>
          <w:sz w:val="32"/>
          <w:szCs w:val="32"/>
        </w:rPr>
        <w:t>第四十一条</w:t>
      </w:r>
      <w:r>
        <w:rPr>
          <w:rFonts w:ascii="仿宋" w:eastAsia="仿宋" w:hAnsi="仿宋" w:cs="仿宋" w:hint="eastAsia"/>
          <w:b/>
          <w:bCs/>
          <w:sz w:val="32"/>
          <w:szCs w:val="32"/>
        </w:rPr>
        <w:t xml:space="preserve"> </w:t>
      </w:r>
      <w:r>
        <w:rPr>
          <w:rFonts w:ascii="仿宋" w:eastAsia="仿宋" w:hAnsi="仿宋" w:cs="仿宋" w:hint="eastAsia"/>
          <w:sz w:val="32"/>
          <w:szCs w:val="32"/>
        </w:rPr>
        <w:t>本指引自印发之日起实施</w:t>
      </w:r>
      <w:r>
        <w:rPr>
          <w:rFonts w:ascii="仿宋" w:eastAsia="仿宋" w:hAnsi="仿宋" w:cs="仿宋" w:hint="eastAsia"/>
          <w:sz w:val="32"/>
          <w:szCs w:val="32"/>
        </w:rPr>
        <w:t xml:space="preserve">                        </w:t>
      </w:r>
    </w:p>
    <w:sectPr w:rsidR="0051668F" w:rsidSect="005166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2BEED"/>
    <w:multiLevelType w:val="singleLevel"/>
    <w:tmpl w:val="8FC2BEED"/>
    <w:lvl w:ilvl="0">
      <w:start w:val="1"/>
      <w:numFmt w:val="decimal"/>
      <w:suff w:val="nothing"/>
      <w:lvlText w:val="（%1）"/>
      <w:lvlJc w:val="left"/>
    </w:lvl>
  </w:abstractNum>
  <w:abstractNum w:abstractNumId="1">
    <w:nsid w:val="A560E767"/>
    <w:multiLevelType w:val="singleLevel"/>
    <w:tmpl w:val="A560E767"/>
    <w:lvl w:ilvl="0">
      <w:start w:val="1"/>
      <w:numFmt w:val="decimal"/>
      <w:suff w:val="nothing"/>
      <w:lvlText w:val="（%1）"/>
      <w:lvlJc w:val="left"/>
    </w:lvl>
  </w:abstractNum>
  <w:abstractNum w:abstractNumId="2">
    <w:nsid w:val="A7749235"/>
    <w:multiLevelType w:val="singleLevel"/>
    <w:tmpl w:val="A7749235"/>
    <w:lvl w:ilvl="0">
      <w:start w:val="1"/>
      <w:numFmt w:val="decimal"/>
      <w:suff w:val="nothing"/>
      <w:lvlText w:val="（%1）"/>
      <w:lvlJc w:val="left"/>
    </w:lvl>
  </w:abstractNum>
  <w:abstractNum w:abstractNumId="3">
    <w:nsid w:val="A89CCF58"/>
    <w:multiLevelType w:val="singleLevel"/>
    <w:tmpl w:val="A89CCF58"/>
    <w:lvl w:ilvl="0">
      <w:start w:val="1"/>
      <w:numFmt w:val="decimal"/>
      <w:suff w:val="nothing"/>
      <w:lvlText w:val="（%1）"/>
      <w:lvlJc w:val="left"/>
    </w:lvl>
  </w:abstractNum>
  <w:abstractNum w:abstractNumId="4">
    <w:nsid w:val="CB1A608C"/>
    <w:multiLevelType w:val="singleLevel"/>
    <w:tmpl w:val="CB1A608C"/>
    <w:lvl w:ilvl="0">
      <w:start w:val="1"/>
      <w:numFmt w:val="decimal"/>
      <w:lvlText w:val="%1."/>
      <w:lvlJc w:val="left"/>
      <w:pPr>
        <w:tabs>
          <w:tab w:val="left" w:pos="312"/>
        </w:tabs>
      </w:pPr>
    </w:lvl>
  </w:abstractNum>
  <w:abstractNum w:abstractNumId="5">
    <w:nsid w:val="49CA76A8"/>
    <w:multiLevelType w:val="singleLevel"/>
    <w:tmpl w:val="49CA76A8"/>
    <w:lvl w:ilvl="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2U4OTIyMjBmNTJlYmViZThkMDM1MTc2Y2NmZTE1ZTIifQ=="/>
  </w:docVars>
  <w:rsids>
    <w:rsidRoot w:val="6DF9441B"/>
    <w:rsid w:val="0051668F"/>
    <w:rsid w:val="006B4ADF"/>
    <w:rsid w:val="00E31860"/>
    <w:rsid w:val="09D52652"/>
    <w:rsid w:val="33EA5AB3"/>
    <w:rsid w:val="34AF49C9"/>
    <w:rsid w:val="5C026C2D"/>
    <w:rsid w:val="5FFB5823"/>
    <w:rsid w:val="6DF944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6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166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6B4ADF"/>
    <w:rPr>
      <w:sz w:val="18"/>
      <w:szCs w:val="18"/>
    </w:rPr>
  </w:style>
  <w:style w:type="character" w:customStyle="1" w:styleId="Char">
    <w:name w:val="批注框文本 Char"/>
    <w:basedOn w:val="a0"/>
    <w:link w:val="a4"/>
    <w:rsid w:val="006B4AD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766</Words>
  <Characters>4372</Characters>
  <Application>Microsoft Office Word</Application>
  <DocSecurity>0</DocSecurity>
  <Lines>36</Lines>
  <Paragraphs>10</Paragraphs>
  <ScaleCrop>false</ScaleCrop>
  <Company>其他</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2022-06-08T07:26:00Z</dcterms:created>
  <dcterms:modified xsi:type="dcterms:W3CDTF">2022-12-16T02:45:00Z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81484C8118244BA2B4830C6A853AD03A</vt:lpwstr>
  </property>
</Properties>
</file>