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7BA" w:rsidRDefault="00C223D0" w:rsidP="005D3778">
      <w:pPr>
        <w:jc w:val="center"/>
        <w:rPr>
          <w:rFonts w:ascii="宋体" w:eastAsia="宋体" w:hAnsi="宋体" w:cs="黑体"/>
          <w:b/>
          <w:sz w:val="44"/>
          <w:szCs w:val="44"/>
        </w:rPr>
      </w:pPr>
      <w:r w:rsidRPr="005D3778">
        <w:rPr>
          <w:rFonts w:ascii="宋体" w:eastAsia="宋体" w:hAnsi="宋体" w:cs="黑体" w:hint="eastAsia"/>
          <w:b/>
          <w:sz w:val="44"/>
          <w:szCs w:val="44"/>
        </w:rPr>
        <w:t>阶梯人口申报业务办理指引</w:t>
      </w:r>
    </w:p>
    <w:p w:rsidR="005D3778" w:rsidRPr="005D3778" w:rsidRDefault="005D3778" w:rsidP="005D3778">
      <w:pPr>
        <w:jc w:val="center"/>
        <w:rPr>
          <w:rFonts w:ascii="宋体" w:eastAsia="宋体" w:hAnsi="宋体" w:cs="微软雅黑"/>
          <w:b/>
          <w:bCs/>
          <w:sz w:val="44"/>
          <w:szCs w:val="44"/>
        </w:rPr>
      </w:pPr>
    </w:p>
    <w:p w:rsidR="006C27BA" w:rsidRPr="005D3778" w:rsidRDefault="00C223D0" w:rsidP="005D3778">
      <w:pPr>
        <w:spacing w:line="360" w:lineRule="auto"/>
        <w:ind w:firstLineChars="200" w:firstLine="640"/>
        <w:outlineLvl w:val="0"/>
        <w:rPr>
          <w:rFonts w:ascii="黑体" w:eastAsia="黑体" w:hAnsi="黑体" w:cstheme="majorEastAsia"/>
          <w:sz w:val="32"/>
          <w:szCs w:val="32"/>
        </w:rPr>
      </w:pPr>
      <w:r w:rsidRPr="005D3778">
        <w:rPr>
          <w:rFonts w:ascii="黑体" w:eastAsia="黑体" w:hAnsi="黑体" w:cstheme="majorEastAsia" w:hint="eastAsia"/>
          <w:sz w:val="32"/>
          <w:szCs w:val="32"/>
        </w:rPr>
        <w:t>一、适用条件</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广州市花都自来水有限公司已实施抄表到户、终端收费的居民生活用水注册水表用户。用水人口在4人及以下的，不需要办理用水人口申报；用水人口超过4人的，用户可根据自身实际用水情况申报用水人口。</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未实施抄表到户的居民总表供水的用户（包括总表供水的城中村、农村、总表集体宿舍等）暂不实施阶梯水价，执行第一阶梯水价，无需办理用水人口申报。</w:t>
      </w:r>
    </w:p>
    <w:p w:rsidR="006C27BA" w:rsidRPr="005D3778" w:rsidRDefault="00C223D0" w:rsidP="005D3778">
      <w:pPr>
        <w:spacing w:line="360" w:lineRule="auto"/>
        <w:ind w:firstLineChars="200" w:firstLine="640"/>
        <w:outlineLvl w:val="0"/>
        <w:rPr>
          <w:rFonts w:ascii="黑体" w:eastAsia="黑体" w:hAnsi="黑体" w:cstheme="majorEastAsia"/>
          <w:sz w:val="32"/>
          <w:szCs w:val="32"/>
        </w:rPr>
      </w:pPr>
      <w:r w:rsidRPr="005D3778">
        <w:rPr>
          <w:rFonts w:ascii="黑体" w:eastAsia="黑体" w:hAnsi="黑体" w:cstheme="majorEastAsia" w:hint="eastAsia"/>
          <w:sz w:val="32"/>
          <w:szCs w:val="32"/>
        </w:rPr>
        <w:t>二、所需资料</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1.正确的水表永久编号。</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2.填写《花都区阶梯水量用水人口申报表》。</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3.提供该用水地址上所有人员户口簿或所有用水人身份证原件；新生婴儿的，可提供出生证等相关身份证明。</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4.用水住所为出租房，居住人员须提交用水地址内所属的居委会盖章证明，及用水人员的相关身份证明。</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5.用水住所为单位宿舍，居住人员须提交单位盖章证明的原件及复印件。</w:t>
      </w:r>
    </w:p>
    <w:p w:rsidR="006C27BA" w:rsidRPr="005D3778" w:rsidRDefault="00C223D0" w:rsidP="005D3778">
      <w:pPr>
        <w:spacing w:line="360" w:lineRule="auto"/>
        <w:ind w:firstLineChars="200" w:firstLine="640"/>
        <w:rPr>
          <w:rFonts w:ascii="仿宋" w:eastAsia="仿宋" w:hAnsi="仿宋"/>
          <w:sz w:val="32"/>
          <w:szCs w:val="32"/>
        </w:rPr>
      </w:pPr>
      <w:r w:rsidRPr="005D3778">
        <w:rPr>
          <w:rFonts w:ascii="仿宋" w:eastAsia="仿宋" w:hAnsi="仿宋" w:hint="eastAsia"/>
          <w:sz w:val="32"/>
          <w:szCs w:val="32"/>
        </w:rPr>
        <w:t>6.代办的还需提供代办人有效身份证明及产权人关于委托代办人办理阶梯人口申报</w:t>
      </w:r>
      <w:bookmarkStart w:id="0" w:name="_GoBack"/>
      <w:bookmarkEnd w:id="0"/>
      <w:r w:rsidRPr="005D3778">
        <w:rPr>
          <w:rFonts w:ascii="仿宋" w:eastAsia="仿宋" w:hAnsi="仿宋" w:hint="eastAsia"/>
          <w:sz w:val="32"/>
          <w:szCs w:val="32"/>
        </w:rPr>
        <w:t>的委托书。</w:t>
      </w:r>
    </w:p>
    <w:p w:rsidR="006C27BA" w:rsidRPr="005D3778" w:rsidRDefault="00C223D0" w:rsidP="005D3778">
      <w:pPr>
        <w:spacing w:line="360" w:lineRule="auto"/>
        <w:ind w:firstLineChars="200" w:firstLine="640"/>
        <w:outlineLvl w:val="0"/>
        <w:rPr>
          <w:rFonts w:ascii="黑体" w:eastAsia="黑体" w:hAnsi="黑体" w:cstheme="majorEastAsia"/>
          <w:sz w:val="32"/>
          <w:szCs w:val="32"/>
        </w:rPr>
      </w:pPr>
      <w:r w:rsidRPr="005D3778">
        <w:rPr>
          <w:rFonts w:ascii="黑体" w:eastAsia="黑体" w:hAnsi="黑体" w:cstheme="majorEastAsia" w:hint="eastAsia"/>
          <w:sz w:val="32"/>
          <w:szCs w:val="32"/>
        </w:rPr>
        <w:t>三、办理方式</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lastRenderedPageBreak/>
        <w:t>1.广州市花都自来水有限公司</w:t>
      </w:r>
      <w:r w:rsidR="005D3778">
        <w:rPr>
          <w:rFonts w:ascii="仿宋" w:eastAsia="仿宋" w:hAnsi="仿宋" w:cstheme="minorEastAsia" w:hint="eastAsia"/>
          <w:sz w:val="32"/>
          <w:szCs w:val="32"/>
        </w:rPr>
        <w:t>营业服务中心</w:t>
      </w:r>
      <w:r w:rsidRPr="005D3778">
        <w:rPr>
          <w:rFonts w:ascii="仿宋" w:eastAsia="仿宋" w:hAnsi="仿宋" w:cstheme="minorEastAsia" w:hint="eastAsia"/>
          <w:sz w:val="32"/>
          <w:szCs w:val="32"/>
        </w:rPr>
        <w:t>（</w:t>
      </w:r>
      <w:r w:rsidR="005D3778">
        <w:rPr>
          <w:rFonts w:ascii="仿宋" w:eastAsia="仿宋" w:hAnsi="仿宋" w:cstheme="minorEastAsia" w:hint="eastAsia"/>
          <w:sz w:val="32"/>
          <w:szCs w:val="32"/>
        </w:rPr>
        <w:t>商业大道98号</w:t>
      </w:r>
      <w:r w:rsidRPr="005D3778">
        <w:rPr>
          <w:rFonts w:ascii="仿宋" w:eastAsia="仿宋" w:hAnsi="仿宋" w:cstheme="minorEastAsia" w:hint="eastAsia"/>
          <w:sz w:val="32"/>
          <w:szCs w:val="32"/>
        </w:rPr>
        <w:t>）。</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2.微信“花都供水”小程序的“阶梯人口申报”业务办理。</w:t>
      </w:r>
    </w:p>
    <w:p w:rsidR="006C27BA" w:rsidRPr="00675EB5" w:rsidRDefault="00C223D0" w:rsidP="005D3778">
      <w:pPr>
        <w:spacing w:line="360" w:lineRule="auto"/>
        <w:ind w:firstLineChars="200" w:firstLine="640"/>
        <w:outlineLvl w:val="0"/>
        <w:rPr>
          <w:rFonts w:ascii="黑体" w:eastAsia="黑体" w:hAnsi="黑体" w:cstheme="majorEastAsia"/>
          <w:sz w:val="32"/>
          <w:szCs w:val="32"/>
        </w:rPr>
      </w:pPr>
      <w:r w:rsidRPr="00675EB5">
        <w:rPr>
          <w:rFonts w:ascii="黑体" w:eastAsia="黑体" w:hAnsi="黑体" w:cstheme="majorEastAsia" w:hint="eastAsia"/>
          <w:sz w:val="32"/>
          <w:szCs w:val="32"/>
        </w:rPr>
        <w:t>四、其他事项</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1.每个证件、证明等材料只能对应办理1个用水地址的用水人口申报手续。</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2.申报用水人口数在用水户办理用水人口申报手续5个工作日后生效。</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3.居民用户应当如实申报用水人口，当用水人口发生变化时应及时向我公司申请调整。</w:t>
      </w:r>
    </w:p>
    <w:p w:rsidR="006C27BA" w:rsidRPr="005D3778" w:rsidRDefault="00C223D0" w:rsidP="005D3778">
      <w:pPr>
        <w:ind w:firstLineChars="200" w:firstLine="640"/>
        <w:jc w:val="center"/>
        <w:rPr>
          <w:rFonts w:ascii="黑体" w:eastAsia="黑体" w:hAnsi="黑体"/>
          <w:bCs/>
          <w:sz w:val="32"/>
          <w:szCs w:val="32"/>
        </w:rPr>
      </w:pPr>
      <w:r w:rsidRPr="005D3778">
        <w:rPr>
          <w:rFonts w:ascii="黑体" w:eastAsia="黑体" w:hAnsi="黑体" w:hint="eastAsia"/>
          <w:bCs/>
          <w:sz w:val="32"/>
          <w:szCs w:val="32"/>
        </w:rPr>
        <w:t>阶梯水量和水价标准</w:t>
      </w:r>
    </w:p>
    <w:tbl>
      <w:tblPr>
        <w:tblStyle w:val="a3"/>
        <w:tblW w:w="0" w:type="auto"/>
        <w:jc w:val="center"/>
        <w:tblLook w:val="04A0"/>
      </w:tblPr>
      <w:tblGrid>
        <w:gridCol w:w="1065"/>
        <w:gridCol w:w="1215"/>
        <w:gridCol w:w="915"/>
        <w:gridCol w:w="1065"/>
        <w:gridCol w:w="1065"/>
        <w:gridCol w:w="1065"/>
        <w:gridCol w:w="1066"/>
        <w:gridCol w:w="1066"/>
      </w:tblGrid>
      <w:tr w:rsidR="006C27BA" w:rsidRPr="005D3778" w:rsidTr="005D3778">
        <w:trPr>
          <w:jc w:val="center"/>
        </w:trPr>
        <w:tc>
          <w:tcPr>
            <w:tcW w:w="1065" w:type="dxa"/>
            <w:vMerge w:val="restart"/>
            <w:vAlign w:val="center"/>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水量基数（m</w:t>
            </w:r>
            <w:r w:rsidRPr="005D3778">
              <w:rPr>
                <w:rFonts w:ascii="仿宋" w:eastAsia="仿宋" w:hAnsi="仿宋" w:cstheme="minorEastAsia" w:hint="eastAsia"/>
                <w:szCs w:val="21"/>
                <w:vertAlign w:val="superscript"/>
              </w:rPr>
              <w:t>3</w:t>
            </w:r>
            <w:r w:rsidRPr="005D3778">
              <w:rPr>
                <w:rFonts w:ascii="仿宋" w:eastAsia="仿宋" w:hAnsi="仿宋" w:cstheme="minorEastAsia" w:hint="eastAsia"/>
                <w:szCs w:val="21"/>
              </w:rPr>
              <w:t>）</w:t>
            </w:r>
          </w:p>
        </w:tc>
        <w:tc>
          <w:tcPr>
            <w:tcW w:w="6391" w:type="dxa"/>
            <w:gridSpan w:val="6"/>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居民用户人口</w:t>
            </w:r>
          </w:p>
        </w:tc>
        <w:tc>
          <w:tcPr>
            <w:tcW w:w="1066" w:type="dxa"/>
            <w:vMerge w:val="restart"/>
            <w:vAlign w:val="center"/>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单价（元/m</w:t>
            </w:r>
            <w:r w:rsidRPr="005D3778">
              <w:rPr>
                <w:rFonts w:ascii="仿宋" w:eastAsia="仿宋" w:hAnsi="仿宋" w:cstheme="minorEastAsia" w:hint="eastAsia"/>
                <w:szCs w:val="21"/>
                <w:vertAlign w:val="superscript"/>
              </w:rPr>
              <w:t>3</w:t>
            </w:r>
            <w:r w:rsidRPr="005D3778">
              <w:rPr>
                <w:rFonts w:ascii="仿宋" w:eastAsia="仿宋" w:hAnsi="仿宋" w:cstheme="minorEastAsia" w:hint="eastAsia"/>
                <w:szCs w:val="21"/>
              </w:rPr>
              <w:t>）</w:t>
            </w:r>
          </w:p>
        </w:tc>
      </w:tr>
      <w:tr w:rsidR="006C27BA" w:rsidRPr="005D3778">
        <w:trPr>
          <w:jc w:val="center"/>
        </w:trPr>
        <w:tc>
          <w:tcPr>
            <w:tcW w:w="1065" w:type="dxa"/>
            <w:vMerge/>
            <w:vAlign w:val="center"/>
          </w:tcPr>
          <w:p w:rsidR="006C27BA" w:rsidRPr="005D3778" w:rsidRDefault="006C27BA" w:rsidP="005D3778">
            <w:pPr>
              <w:ind w:firstLineChars="200" w:firstLine="420"/>
              <w:jc w:val="center"/>
              <w:rPr>
                <w:rFonts w:ascii="仿宋" w:eastAsia="仿宋" w:hAnsi="仿宋" w:cstheme="minorEastAsia"/>
                <w:szCs w:val="21"/>
              </w:rPr>
            </w:pPr>
          </w:p>
        </w:tc>
        <w:tc>
          <w:tcPr>
            <w:tcW w:w="12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4人及以下</w:t>
            </w:r>
          </w:p>
        </w:tc>
        <w:tc>
          <w:tcPr>
            <w:tcW w:w="9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5 人</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6人</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7人</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8人</w:t>
            </w:r>
          </w:p>
        </w:tc>
        <w:tc>
          <w:tcPr>
            <w:tcW w:w="1066"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依此类推</w:t>
            </w:r>
          </w:p>
        </w:tc>
        <w:tc>
          <w:tcPr>
            <w:tcW w:w="1066" w:type="dxa"/>
            <w:vMerge/>
          </w:tcPr>
          <w:p w:rsidR="006C27BA" w:rsidRPr="005D3778" w:rsidRDefault="006C27BA" w:rsidP="005D3778">
            <w:pPr>
              <w:ind w:firstLineChars="200" w:firstLine="420"/>
              <w:jc w:val="center"/>
              <w:rPr>
                <w:rFonts w:ascii="仿宋" w:eastAsia="仿宋" w:hAnsi="仿宋" w:cstheme="minorEastAsia"/>
                <w:szCs w:val="21"/>
              </w:rPr>
            </w:pPr>
          </w:p>
        </w:tc>
      </w:tr>
      <w:tr w:rsidR="006C27BA" w:rsidRPr="005D3778">
        <w:trPr>
          <w:jc w:val="center"/>
        </w:trPr>
        <w:tc>
          <w:tcPr>
            <w:tcW w:w="1065" w:type="dxa"/>
            <w:vAlign w:val="center"/>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第一级</w:t>
            </w:r>
          </w:p>
        </w:tc>
        <w:tc>
          <w:tcPr>
            <w:tcW w:w="12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≤26</w:t>
            </w:r>
          </w:p>
        </w:tc>
        <w:tc>
          <w:tcPr>
            <w:tcW w:w="9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≤32</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≤38</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≤44</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≤50</w:t>
            </w:r>
          </w:p>
        </w:tc>
        <w:tc>
          <w:tcPr>
            <w:tcW w:w="1066" w:type="dxa"/>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w:t>
            </w:r>
          </w:p>
        </w:tc>
        <w:tc>
          <w:tcPr>
            <w:tcW w:w="1066" w:type="dxa"/>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1.82</w:t>
            </w:r>
          </w:p>
        </w:tc>
      </w:tr>
      <w:tr w:rsidR="006C27BA" w:rsidRPr="005D3778">
        <w:trPr>
          <w:jc w:val="center"/>
        </w:trPr>
        <w:tc>
          <w:tcPr>
            <w:tcW w:w="1065" w:type="dxa"/>
            <w:vAlign w:val="center"/>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第二级</w:t>
            </w:r>
          </w:p>
        </w:tc>
        <w:tc>
          <w:tcPr>
            <w:tcW w:w="12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27～34</w:t>
            </w:r>
          </w:p>
        </w:tc>
        <w:tc>
          <w:tcPr>
            <w:tcW w:w="9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33～40</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39～46</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45～52</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51～58</w:t>
            </w:r>
          </w:p>
        </w:tc>
        <w:tc>
          <w:tcPr>
            <w:tcW w:w="1066" w:type="dxa"/>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w:t>
            </w:r>
          </w:p>
        </w:tc>
        <w:tc>
          <w:tcPr>
            <w:tcW w:w="1066" w:type="dxa"/>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2.73</w:t>
            </w:r>
          </w:p>
        </w:tc>
      </w:tr>
      <w:tr w:rsidR="006C27BA" w:rsidRPr="005D3778">
        <w:trPr>
          <w:jc w:val="center"/>
        </w:trPr>
        <w:tc>
          <w:tcPr>
            <w:tcW w:w="1065" w:type="dxa"/>
            <w:vAlign w:val="center"/>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第三级</w:t>
            </w:r>
          </w:p>
        </w:tc>
        <w:tc>
          <w:tcPr>
            <w:tcW w:w="12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＞34</w:t>
            </w:r>
          </w:p>
        </w:tc>
        <w:tc>
          <w:tcPr>
            <w:tcW w:w="91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＞40</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＞46</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＞52</w:t>
            </w:r>
          </w:p>
        </w:tc>
        <w:tc>
          <w:tcPr>
            <w:tcW w:w="1065" w:type="dxa"/>
          </w:tcPr>
          <w:p w:rsidR="006C27BA" w:rsidRPr="005D3778" w:rsidRDefault="00C223D0" w:rsidP="005D3778">
            <w:pPr>
              <w:jc w:val="center"/>
              <w:rPr>
                <w:rFonts w:ascii="仿宋" w:eastAsia="仿宋" w:hAnsi="仿宋" w:cstheme="minorEastAsia"/>
                <w:szCs w:val="21"/>
              </w:rPr>
            </w:pPr>
            <w:r w:rsidRPr="005D3778">
              <w:rPr>
                <w:rFonts w:ascii="仿宋" w:eastAsia="仿宋" w:hAnsi="仿宋" w:cstheme="minorEastAsia" w:hint="eastAsia"/>
                <w:szCs w:val="21"/>
              </w:rPr>
              <w:t>＞58</w:t>
            </w:r>
          </w:p>
        </w:tc>
        <w:tc>
          <w:tcPr>
            <w:tcW w:w="1066" w:type="dxa"/>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w:t>
            </w:r>
          </w:p>
        </w:tc>
        <w:tc>
          <w:tcPr>
            <w:tcW w:w="1066" w:type="dxa"/>
          </w:tcPr>
          <w:p w:rsidR="006C27BA" w:rsidRPr="005D3778" w:rsidRDefault="00C223D0" w:rsidP="005D3778">
            <w:pPr>
              <w:ind w:firstLineChars="200" w:firstLine="420"/>
              <w:jc w:val="center"/>
              <w:rPr>
                <w:rFonts w:ascii="仿宋" w:eastAsia="仿宋" w:hAnsi="仿宋" w:cstheme="minorEastAsia"/>
                <w:szCs w:val="21"/>
              </w:rPr>
            </w:pPr>
            <w:r w:rsidRPr="005D3778">
              <w:rPr>
                <w:rFonts w:ascii="仿宋" w:eastAsia="仿宋" w:hAnsi="仿宋" w:cstheme="minorEastAsia" w:hint="eastAsia"/>
                <w:szCs w:val="21"/>
              </w:rPr>
              <w:t>5.46</w:t>
            </w:r>
          </w:p>
        </w:tc>
      </w:tr>
    </w:tbl>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备注：</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（1）自来水费价格标准根据花发改</w:t>
      </w:r>
      <w:r w:rsidRPr="005D3778">
        <w:rPr>
          <w:rFonts w:ascii="仿宋" w:eastAsia="仿宋" w:hAnsi="仿宋" w:cs="仿宋" w:hint="eastAsia"/>
          <w:sz w:val="32"/>
          <w:szCs w:val="32"/>
        </w:rPr>
        <w:t>〔</w:t>
      </w:r>
      <w:r w:rsidRPr="005D3778">
        <w:rPr>
          <w:rFonts w:ascii="仿宋" w:eastAsia="仿宋" w:hAnsi="仿宋" w:cstheme="minorEastAsia" w:hint="eastAsia"/>
          <w:sz w:val="32"/>
          <w:szCs w:val="32"/>
        </w:rPr>
        <w:t>2015</w:t>
      </w:r>
      <w:r w:rsidRPr="005D3778">
        <w:rPr>
          <w:rFonts w:ascii="仿宋" w:eastAsia="仿宋" w:hAnsi="仿宋" w:cs="仿宋" w:hint="eastAsia"/>
          <w:sz w:val="32"/>
          <w:szCs w:val="32"/>
        </w:rPr>
        <w:t>〕</w:t>
      </w:r>
      <w:r w:rsidRPr="005D3778">
        <w:rPr>
          <w:rFonts w:ascii="仿宋" w:eastAsia="仿宋" w:hAnsi="仿宋" w:cstheme="minorEastAsia" w:hint="eastAsia"/>
          <w:sz w:val="32"/>
          <w:szCs w:val="32"/>
        </w:rPr>
        <w:t>18号文执行；污水处理费根据花发改价</w:t>
      </w:r>
      <w:r w:rsidRPr="005D3778">
        <w:rPr>
          <w:rFonts w:ascii="仿宋" w:eastAsia="仿宋" w:hAnsi="仿宋" w:cs="仿宋" w:hint="eastAsia"/>
          <w:sz w:val="32"/>
          <w:szCs w:val="32"/>
        </w:rPr>
        <w:t>〔</w:t>
      </w:r>
      <w:r w:rsidRPr="005D3778">
        <w:rPr>
          <w:rFonts w:ascii="仿宋" w:eastAsia="仿宋" w:hAnsi="仿宋" w:cstheme="minorEastAsia" w:hint="eastAsia"/>
          <w:sz w:val="32"/>
          <w:szCs w:val="32"/>
        </w:rPr>
        <w:t>2017</w:t>
      </w:r>
      <w:r w:rsidRPr="005D3778">
        <w:rPr>
          <w:rFonts w:ascii="仿宋" w:eastAsia="仿宋" w:hAnsi="仿宋" w:cs="仿宋" w:hint="eastAsia"/>
          <w:sz w:val="32"/>
          <w:szCs w:val="32"/>
        </w:rPr>
        <w:t>〕</w:t>
      </w:r>
      <w:r w:rsidRPr="005D3778">
        <w:rPr>
          <w:rFonts w:ascii="仿宋" w:eastAsia="仿宋" w:hAnsi="仿宋" w:cstheme="minorEastAsia" w:hint="eastAsia"/>
          <w:sz w:val="32"/>
          <w:szCs w:val="32"/>
        </w:rPr>
        <w:t>10号文执行，由广州市花都自来水有限公司统一代收。</w:t>
      </w:r>
    </w:p>
    <w:p w:rsidR="006C27BA" w:rsidRPr="005D3778" w:rsidRDefault="00C223D0" w:rsidP="005D3778">
      <w:pPr>
        <w:spacing w:line="360" w:lineRule="auto"/>
        <w:ind w:firstLineChars="200" w:firstLine="640"/>
        <w:rPr>
          <w:rFonts w:ascii="仿宋" w:eastAsia="仿宋" w:hAnsi="仿宋" w:cstheme="minorEastAsia"/>
          <w:sz w:val="32"/>
          <w:szCs w:val="32"/>
        </w:rPr>
      </w:pPr>
      <w:r w:rsidRPr="005D3778">
        <w:rPr>
          <w:rFonts w:ascii="仿宋" w:eastAsia="仿宋" w:hAnsi="仿宋" w:cstheme="minorEastAsia" w:hint="eastAsia"/>
          <w:sz w:val="32"/>
          <w:szCs w:val="32"/>
        </w:rPr>
        <w:t>（2）我公司居民用水抄表周期为两月一抄，即第一阶梯水价水量基数按52立方起计，第二阶梯水价水量基数为53～68立方起计，第三阶梯水价水量基数＞68立方起计。</w:t>
      </w:r>
    </w:p>
    <w:p w:rsidR="006C27BA" w:rsidRDefault="006C27BA">
      <w:pPr>
        <w:rPr>
          <w:sz w:val="28"/>
          <w:szCs w:val="28"/>
        </w:rPr>
      </w:pPr>
    </w:p>
    <w:sectPr w:rsidR="006C27BA" w:rsidSect="006C27BA">
      <w:pgSz w:w="11906" w:h="16838"/>
      <w:pgMar w:top="1440" w:right="1179" w:bottom="1440"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02" w:rsidRDefault="00694802" w:rsidP="00C73B5B">
      <w:r>
        <w:separator/>
      </w:r>
    </w:p>
  </w:endnote>
  <w:endnote w:type="continuationSeparator" w:id="0">
    <w:p w:rsidR="00694802" w:rsidRDefault="00694802" w:rsidP="00C73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02" w:rsidRDefault="00694802" w:rsidP="00C73B5B">
      <w:r>
        <w:separator/>
      </w:r>
    </w:p>
  </w:footnote>
  <w:footnote w:type="continuationSeparator" w:id="0">
    <w:p w:rsidR="00694802" w:rsidRDefault="00694802" w:rsidP="00C73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6F279E2"/>
    <w:rsid w:val="00414ABE"/>
    <w:rsid w:val="00534060"/>
    <w:rsid w:val="005D3778"/>
    <w:rsid w:val="006010C2"/>
    <w:rsid w:val="00675EB5"/>
    <w:rsid w:val="00694802"/>
    <w:rsid w:val="006A0A24"/>
    <w:rsid w:val="006C27BA"/>
    <w:rsid w:val="00BD1F5E"/>
    <w:rsid w:val="00C223D0"/>
    <w:rsid w:val="00C73B5B"/>
    <w:rsid w:val="0153743D"/>
    <w:rsid w:val="015B7279"/>
    <w:rsid w:val="06C95AE4"/>
    <w:rsid w:val="0BA31E9C"/>
    <w:rsid w:val="0C353042"/>
    <w:rsid w:val="18A7525A"/>
    <w:rsid w:val="1B9D283C"/>
    <w:rsid w:val="1F73708C"/>
    <w:rsid w:val="1FBA729F"/>
    <w:rsid w:val="24FE0556"/>
    <w:rsid w:val="2F771752"/>
    <w:rsid w:val="352F4DA9"/>
    <w:rsid w:val="36F279E2"/>
    <w:rsid w:val="3E684877"/>
    <w:rsid w:val="3EDC6F51"/>
    <w:rsid w:val="44850DF9"/>
    <w:rsid w:val="49A73B38"/>
    <w:rsid w:val="4AE97868"/>
    <w:rsid w:val="4D603FFD"/>
    <w:rsid w:val="50257069"/>
    <w:rsid w:val="526A04B2"/>
    <w:rsid w:val="56DB762C"/>
    <w:rsid w:val="58724EAB"/>
    <w:rsid w:val="63D3681B"/>
    <w:rsid w:val="681243CD"/>
    <w:rsid w:val="683728FB"/>
    <w:rsid w:val="6A604837"/>
    <w:rsid w:val="6FB82B7A"/>
    <w:rsid w:val="6FD92ED7"/>
    <w:rsid w:val="77100987"/>
    <w:rsid w:val="7DA43F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7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C27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73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73B5B"/>
    <w:rPr>
      <w:kern w:val="2"/>
      <w:sz w:val="18"/>
      <w:szCs w:val="18"/>
    </w:rPr>
  </w:style>
  <w:style w:type="paragraph" w:styleId="a5">
    <w:name w:val="footer"/>
    <w:basedOn w:val="a"/>
    <w:link w:val="Char0"/>
    <w:rsid w:val="00C73B5B"/>
    <w:pPr>
      <w:tabs>
        <w:tab w:val="center" w:pos="4153"/>
        <w:tab w:val="right" w:pos="8306"/>
      </w:tabs>
      <w:snapToGrid w:val="0"/>
      <w:jc w:val="left"/>
    </w:pPr>
    <w:rPr>
      <w:sz w:val="18"/>
      <w:szCs w:val="18"/>
    </w:rPr>
  </w:style>
  <w:style w:type="character" w:customStyle="1" w:styleId="Char0">
    <w:name w:val="页脚 Char"/>
    <w:basedOn w:val="a0"/>
    <w:link w:val="a5"/>
    <w:rsid w:val="00C73B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135</Words>
  <Characters>775</Characters>
  <Application>Microsoft Office Word</Application>
  <DocSecurity>0</DocSecurity>
  <Lines>6</Lines>
  <Paragraphs>1</Paragraphs>
  <ScaleCrop>false</ScaleCrop>
  <Company>其他</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2022-07-04T01:28:00Z</dcterms:created>
  <dcterms:modified xsi:type="dcterms:W3CDTF">2022-12-16T02:24:00Z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