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9B355">
      <w:pPr>
        <w:spacing w:line="360" w:lineRule="auto"/>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14:paraId="49D42FB6">
      <w:pPr>
        <w:spacing w:line="360" w:lineRule="auto"/>
        <w:jc w:val="center"/>
        <w:rPr>
          <w:rFonts w:ascii="黑体" w:hAnsi="黑体" w:eastAsia="黑体" w:cs="仿宋_GB2312"/>
          <w:b/>
          <w:bCs/>
          <w:sz w:val="44"/>
          <w:szCs w:val="44"/>
        </w:rPr>
      </w:pPr>
      <w:r>
        <w:rPr>
          <w:rFonts w:hint="eastAsia" w:ascii="黑体" w:hAnsi="黑体" w:eastAsia="黑体" w:cs="仿宋_GB2312"/>
          <w:b/>
          <w:bCs/>
          <w:sz w:val="44"/>
          <w:szCs w:val="44"/>
        </w:rPr>
        <w:t>花都区“十四五”时期先进制造业</w:t>
      </w:r>
    </w:p>
    <w:p w14:paraId="7076CCFC">
      <w:pPr>
        <w:spacing w:line="360" w:lineRule="auto"/>
        <w:jc w:val="center"/>
        <w:rPr>
          <w:rFonts w:ascii="黑体" w:hAnsi="黑体" w:eastAsia="黑体" w:cs="仿宋_GB2312"/>
          <w:b/>
          <w:bCs/>
          <w:sz w:val="44"/>
          <w:szCs w:val="44"/>
        </w:rPr>
      </w:pPr>
      <w:r>
        <w:rPr>
          <w:rFonts w:hint="eastAsia" w:ascii="黑体" w:hAnsi="黑体" w:eastAsia="黑体" w:cs="仿宋_GB2312"/>
          <w:b/>
          <w:bCs/>
          <w:sz w:val="44"/>
          <w:szCs w:val="44"/>
        </w:rPr>
        <w:t>发展规划</w:t>
      </w:r>
    </w:p>
    <w:p w14:paraId="7064D2CC">
      <w:pPr>
        <w:spacing w:line="360" w:lineRule="auto"/>
        <w:jc w:val="center"/>
        <w:rPr>
          <w:rFonts w:ascii="楷体" w:hAnsi="楷体" w:eastAsia="楷体" w:cs="Times New Roman"/>
          <w:b/>
          <w:sz w:val="32"/>
          <w:szCs w:val="32"/>
        </w:rPr>
      </w:pPr>
      <w:r>
        <w:rPr>
          <w:rFonts w:ascii="楷体" w:hAnsi="楷体" w:eastAsia="楷体" w:cs="仿宋_GB2312"/>
          <w:b/>
          <w:bCs/>
          <w:sz w:val="32"/>
          <w:szCs w:val="32"/>
        </w:rPr>
        <w:t>（第</w:t>
      </w:r>
      <w:r>
        <w:rPr>
          <w:rFonts w:hint="eastAsia" w:ascii="楷体" w:hAnsi="楷体" w:eastAsia="楷体" w:cs="仿宋_GB2312"/>
          <w:b/>
          <w:bCs/>
          <w:sz w:val="32"/>
          <w:szCs w:val="32"/>
          <w:lang w:val="en-US" w:eastAsia="zh-CN"/>
        </w:rPr>
        <w:t>五</w:t>
      </w:r>
      <w:r>
        <w:rPr>
          <w:rFonts w:ascii="楷体" w:hAnsi="楷体" w:eastAsia="楷体" w:cs="仿宋_GB2312"/>
          <w:b/>
          <w:bCs/>
          <w:sz w:val="32"/>
          <w:szCs w:val="32"/>
        </w:rPr>
        <w:t>版）</w:t>
      </w:r>
    </w:p>
    <w:p w14:paraId="682EE539">
      <w:pPr>
        <w:rPr>
          <w:sz w:val="32"/>
          <w:szCs w:val="32"/>
        </w:rPr>
      </w:pPr>
    </w:p>
    <w:p w14:paraId="61FABF67">
      <w:pPr>
        <w:rPr>
          <w:sz w:val="32"/>
          <w:szCs w:val="32"/>
        </w:rPr>
      </w:pPr>
    </w:p>
    <w:p w14:paraId="5C0D0AA6">
      <w:pPr>
        <w:rPr>
          <w:sz w:val="32"/>
          <w:szCs w:val="32"/>
        </w:rPr>
      </w:pPr>
    </w:p>
    <w:p w14:paraId="3A5F1A2A">
      <w:pPr>
        <w:rPr>
          <w:sz w:val="32"/>
          <w:szCs w:val="32"/>
        </w:rPr>
      </w:pPr>
    </w:p>
    <w:p w14:paraId="4293CB6C">
      <w:pPr>
        <w:rPr>
          <w:sz w:val="32"/>
          <w:szCs w:val="32"/>
        </w:rPr>
      </w:pPr>
    </w:p>
    <w:p w14:paraId="19FC614F">
      <w:pPr>
        <w:rPr>
          <w:sz w:val="32"/>
          <w:szCs w:val="32"/>
        </w:rPr>
      </w:pPr>
    </w:p>
    <w:p w14:paraId="12C86000">
      <w:pPr>
        <w:rPr>
          <w:sz w:val="32"/>
          <w:szCs w:val="32"/>
        </w:rPr>
      </w:pPr>
    </w:p>
    <w:p w14:paraId="2D0D785A">
      <w:pPr>
        <w:rPr>
          <w:sz w:val="32"/>
          <w:szCs w:val="32"/>
        </w:rPr>
      </w:pPr>
    </w:p>
    <w:p w14:paraId="17F34BB1">
      <w:pPr>
        <w:rPr>
          <w:sz w:val="32"/>
          <w:szCs w:val="32"/>
        </w:rPr>
      </w:pPr>
    </w:p>
    <w:p w14:paraId="4A39B1E9">
      <w:pPr>
        <w:rPr>
          <w:sz w:val="32"/>
          <w:szCs w:val="32"/>
        </w:rPr>
      </w:pPr>
    </w:p>
    <w:p w14:paraId="569388A5">
      <w:pPr>
        <w:rPr>
          <w:sz w:val="32"/>
          <w:szCs w:val="32"/>
        </w:rPr>
      </w:pPr>
    </w:p>
    <w:p w14:paraId="0FB67EEA">
      <w:pPr>
        <w:rPr>
          <w:sz w:val="32"/>
          <w:szCs w:val="32"/>
        </w:rPr>
      </w:pPr>
    </w:p>
    <w:p w14:paraId="1E61CA5B">
      <w:pPr>
        <w:rPr>
          <w:sz w:val="32"/>
          <w:szCs w:val="32"/>
        </w:rPr>
      </w:pPr>
    </w:p>
    <w:p w14:paraId="0DEDA378">
      <w:pPr>
        <w:jc w:val="center"/>
        <w:rPr>
          <w:rFonts w:ascii="黑体" w:hAnsi="黑体" w:eastAsia="黑体"/>
          <w:sz w:val="32"/>
          <w:szCs w:val="32"/>
        </w:rPr>
      </w:pPr>
      <w:r>
        <w:rPr>
          <w:rFonts w:hint="eastAsia" w:ascii="黑体" w:hAnsi="黑体" w:eastAsia="黑体"/>
          <w:sz w:val="32"/>
          <w:szCs w:val="32"/>
        </w:rPr>
        <w:t>二○二一年</w:t>
      </w:r>
      <w:r>
        <w:rPr>
          <w:rFonts w:hint="eastAsia" w:ascii="黑体" w:hAnsi="黑体" w:eastAsia="黑体"/>
          <w:sz w:val="32"/>
          <w:szCs w:val="32"/>
          <w:lang w:val="en-US" w:eastAsia="zh-CN"/>
        </w:rPr>
        <w:t>九</w:t>
      </w:r>
      <w:r>
        <w:rPr>
          <w:rFonts w:hint="eastAsia" w:ascii="黑体" w:hAnsi="黑体" w:eastAsia="黑体"/>
          <w:sz w:val="32"/>
          <w:szCs w:val="32"/>
        </w:rPr>
        <w:t>月</w:t>
      </w:r>
    </w:p>
    <w:p w14:paraId="032F9BBF">
      <w:pPr>
        <w:pageBreakBefore/>
        <w:jc w:val="center"/>
        <w:rPr>
          <w:rFonts w:ascii="黑体" w:hAnsi="黑体" w:eastAsia="黑体"/>
          <w:sz w:val="32"/>
          <w:szCs w:val="32"/>
        </w:rPr>
        <w:sectPr>
          <w:footerReference r:id="rId3" w:type="default"/>
          <w:pgSz w:w="11906" w:h="16838"/>
          <w:pgMar w:top="1440" w:right="1800" w:bottom="1440" w:left="1800" w:header="851" w:footer="992" w:gutter="0"/>
          <w:pgNumType w:fmt="upperRoman" w:start="1"/>
          <w:cols w:space="425" w:num="1"/>
          <w:titlePg/>
          <w:docGrid w:type="lines" w:linePitch="312" w:charSpace="0"/>
        </w:sectPr>
      </w:pPr>
    </w:p>
    <w:p w14:paraId="2BA3D3DD">
      <w:pPr>
        <w:pageBreakBefore/>
        <w:jc w:val="center"/>
        <w:rPr>
          <w:rFonts w:ascii="黑体" w:hAnsi="黑体" w:eastAsia="黑体"/>
          <w:sz w:val="32"/>
          <w:szCs w:val="32"/>
        </w:rPr>
      </w:pPr>
      <w:r>
        <w:rPr>
          <w:rFonts w:hint="eastAsia" w:ascii="黑体" w:hAnsi="黑体" w:eastAsia="黑体"/>
          <w:sz w:val="32"/>
          <w:szCs w:val="32"/>
        </w:rPr>
        <w:t>目  录</w:t>
      </w:r>
    </w:p>
    <w:p w14:paraId="7E0D62A4">
      <w:pPr>
        <w:pStyle w:val="7"/>
        <w:tabs>
          <w:tab w:val="right" w:leader="dot" w:pos="8296"/>
        </w:tabs>
        <w:rPr>
          <w:rFonts w:ascii="黑体" w:hAnsi="黑体" w:eastAsia="黑体"/>
          <w:sz w:val="32"/>
          <w:szCs w:val="32"/>
        </w:rPr>
      </w:pPr>
    </w:p>
    <w:p w14:paraId="503F208E">
      <w:pPr>
        <w:pStyle w:val="7"/>
        <w:tabs>
          <w:tab w:val="right" w:leader="dot" w:pos="8296"/>
        </w:tabs>
        <w:rPr>
          <w:sz w:val="28"/>
          <w:szCs w:val="28"/>
        </w:rPr>
      </w:pPr>
      <w:r>
        <w:rPr>
          <w:rFonts w:ascii="黑体" w:hAnsi="黑体" w:eastAsia="黑体"/>
          <w:sz w:val="28"/>
          <w:szCs w:val="28"/>
        </w:rPr>
        <w:fldChar w:fldCharType="begin"/>
      </w:r>
      <w:r>
        <w:rPr>
          <w:rFonts w:ascii="黑体" w:hAnsi="黑体" w:eastAsia="黑体"/>
          <w:sz w:val="28"/>
          <w:szCs w:val="28"/>
        </w:rPr>
        <w:instrText xml:space="preserve"> TOC \o "1-3" \h \z \u </w:instrText>
      </w:r>
      <w:r>
        <w:rPr>
          <w:rFonts w:ascii="黑体" w:hAnsi="黑体" w:eastAsia="黑体"/>
          <w:sz w:val="28"/>
          <w:szCs w:val="28"/>
        </w:rPr>
        <w:fldChar w:fldCharType="separate"/>
      </w:r>
      <w:r>
        <w:fldChar w:fldCharType="begin"/>
      </w:r>
      <w:r>
        <w:instrText xml:space="preserve"> HYPERLINK \l "_Toc76826078" </w:instrText>
      </w:r>
      <w:r>
        <w:fldChar w:fldCharType="separate"/>
      </w:r>
      <w:r>
        <w:rPr>
          <w:rStyle w:val="13"/>
          <w:rFonts w:hint="eastAsia" w:ascii="黑体" w:hAnsi="黑体" w:eastAsia="黑体"/>
          <w:sz w:val="28"/>
          <w:szCs w:val="28"/>
        </w:rPr>
        <w:t>一、发展基础</w:t>
      </w:r>
      <w:r>
        <w:rPr>
          <w:sz w:val="28"/>
          <w:szCs w:val="28"/>
        </w:rPr>
        <w:tab/>
      </w:r>
      <w:r>
        <w:rPr>
          <w:sz w:val="28"/>
          <w:szCs w:val="28"/>
        </w:rPr>
        <w:fldChar w:fldCharType="begin"/>
      </w:r>
      <w:r>
        <w:rPr>
          <w:sz w:val="28"/>
          <w:szCs w:val="28"/>
        </w:rPr>
        <w:instrText xml:space="preserve"> PAGEREF _Toc76826078 \h </w:instrText>
      </w:r>
      <w:r>
        <w:rPr>
          <w:sz w:val="28"/>
          <w:szCs w:val="28"/>
        </w:rPr>
        <w:fldChar w:fldCharType="separate"/>
      </w:r>
      <w:r>
        <w:rPr>
          <w:sz w:val="28"/>
          <w:szCs w:val="28"/>
        </w:rPr>
        <w:t>1</w:t>
      </w:r>
      <w:r>
        <w:rPr>
          <w:sz w:val="28"/>
          <w:szCs w:val="28"/>
        </w:rPr>
        <w:fldChar w:fldCharType="end"/>
      </w:r>
      <w:r>
        <w:rPr>
          <w:sz w:val="28"/>
          <w:szCs w:val="28"/>
        </w:rPr>
        <w:fldChar w:fldCharType="end"/>
      </w:r>
    </w:p>
    <w:p w14:paraId="17DF9832">
      <w:pPr>
        <w:pStyle w:val="8"/>
        <w:tabs>
          <w:tab w:val="right" w:leader="dot" w:pos="8296"/>
        </w:tabs>
        <w:rPr>
          <w:sz w:val="28"/>
          <w:szCs w:val="28"/>
        </w:rPr>
      </w:pPr>
      <w:r>
        <w:fldChar w:fldCharType="begin"/>
      </w:r>
      <w:r>
        <w:instrText xml:space="preserve"> HYPERLINK \l "_Toc76826079" </w:instrText>
      </w:r>
      <w:r>
        <w:fldChar w:fldCharType="separate"/>
      </w:r>
      <w:r>
        <w:rPr>
          <w:rStyle w:val="13"/>
          <w:rFonts w:hint="eastAsia" w:ascii="楷体_GB2312" w:hAnsi="仿宋" w:eastAsia="楷体_GB2312"/>
          <w:sz w:val="28"/>
          <w:szCs w:val="28"/>
        </w:rPr>
        <w:t>（一）“十三五”取得的成就</w:t>
      </w:r>
      <w:r>
        <w:rPr>
          <w:sz w:val="28"/>
          <w:szCs w:val="28"/>
        </w:rPr>
        <w:tab/>
      </w:r>
      <w:r>
        <w:rPr>
          <w:sz w:val="28"/>
          <w:szCs w:val="28"/>
        </w:rPr>
        <w:fldChar w:fldCharType="begin"/>
      </w:r>
      <w:r>
        <w:rPr>
          <w:sz w:val="28"/>
          <w:szCs w:val="28"/>
        </w:rPr>
        <w:instrText xml:space="preserve"> PAGEREF _Toc76826079 \h </w:instrText>
      </w:r>
      <w:r>
        <w:rPr>
          <w:sz w:val="28"/>
          <w:szCs w:val="28"/>
        </w:rPr>
        <w:fldChar w:fldCharType="separate"/>
      </w:r>
      <w:r>
        <w:rPr>
          <w:sz w:val="28"/>
          <w:szCs w:val="28"/>
        </w:rPr>
        <w:t>1</w:t>
      </w:r>
      <w:r>
        <w:rPr>
          <w:sz w:val="28"/>
          <w:szCs w:val="28"/>
        </w:rPr>
        <w:fldChar w:fldCharType="end"/>
      </w:r>
      <w:r>
        <w:rPr>
          <w:sz w:val="28"/>
          <w:szCs w:val="28"/>
        </w:rPr>
        <w:fldChar w:fldCharType="end"/>
      </w:r>
    </w:p>
    <w:p w14:paraId="1D1740BE">
      <w:pPr>
        <w:pStyle w:val="5"/>
        <w:tabs>
          <w:tab w:val="right" w:leader="dot" w:pos="8296"/>
        </w:tabs>
        <w:rPr>
          <w:sz w:val="28"/>
          <w:szCs w:val="28"/>
        </w:rPr>
      </w:pPr>
      <w:r>
        <w:fldChar w:fldCharType="begin"/>
      </w:r>
      <w:r>
        <w:instrText xml:space="preserve"> HYPERLINK \l "_Toc76826080"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综合实力不断壮大</w:t>
      </w:r>
      <w:r>
        <w:rPr>
          <w:sz w:val="28"/>
          <w:szCs w:val="28"/>
        </w:rPr>
        <w:tab/>
      </w:r>
      <w:r>
        <w:rPr>
          <w:sz w:val="28"/>
          <w:szCs w:val="28"/>
        </w:rPr>
        <w:fldChar w:fldCharType="begin"/>
      </w:r>
      <w:r>
        <w:rPr>
          <w:sz w:val="28"/>
          <w:szCs w:val="28"/>
        </w:rPr>
        <w:instrText xml:space="preserve"> PAGEREF _Toc76826080 \h </w:instrText>
      </w:r>
      <w:r>
        <w:rPr>
          <w:sz w:val="28"/>
          <w:szCs w:val="28"/>
        </w:rPr>
        <w:fldChar w:fldCharType="separate"/>
      </w:r>
      <w:r>
        <w:rPr>
          <w:sz w:val="28"/>
          <w:szCs w:val="28"/>
        </w:rPr>
        <w:t>1</w:t>
      </w:r>
      <w:r>
        <w:rPr>
          <w:sz w:val="28"/>
          <w:szCs w:val="28"/>
        </w:rPr>
        <w:fldChar w:fldCharType="end"/>
      </w:r>
      <w:r>
        <w:rPr>
          <w:sz w:val="28"/>
          <w:szCs w:val="28"/>
        </w:rPr>
        <w:fldChar w:fldCharType="end"/>
      </w:r>
    </w:p>
    <w:p w14:paraId="1A9585B6">
      <w:pPr>
        <w:pStyle w:val="5"/>
        <w:tabs>
          <w:tab w:val="right" w:leader="dot" w:pos="8296"/>
        </w:tabs>
        <w:rPr>
          <w:sz w:val="28"/>
          <w:szCs w:val="28"/>
        </w:rPr>
      </w:pPr>
      <w:r>
        <w:fldChar w:fldCharType="begin"/>
      </w:r>
      <w:r>
        <w:instrText xml:space="preserve"> HYPERLINK \l "_Toc76826081"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产业结构优化升级</w:t>
      </w:r>
      <w:r>
        <w:rPr>
          <w:sz w:val="28"/>
          <w:szCs w:val="28"/>
        </w:rPr>
        <w:tab/>
      </w:r>
      <w:r>
        <w:rPr>
          <w:sz w:val="28"/>
          <w:szCs w:val="28"/>
        </w:rPr>
        <w:fldChar w:fldCharType="begin"/>
      </w:r>
      <w:r>
        <w:rPr>
          <w:sz w:val="28"/>
          <w:szCs w:val="28"/>
        </w:rPr>
        <w:instrText xml:space="preserve"> PAGEREF _Toc76826081 \h </w:instrText>
      </w:r>
      <w:r>
        <w:rPr>
          <w:sz w:val="28"/>
          <w:szCs w:val="28"/>
        </w:rPr>
        <w:fldChar w:fldCharType="separate"/>
      </w:r>
      <w:r>
        <w:rPr>
          <w:sz w:val="28"/>
          <w:szCs w:val="28"/>
        </w:rPr>
        <w:t>2</w:t>
      </w:r>
      <w:r>
        <w:rPr>
          <w:sz w:val="28"/>
          <w:szCs w:val="28"/>
        </w:rPr>
        <w:fldChar w:fldCharType="end"/>
      </w:r>
      <w:r>
        <w:rPr>
          <w:sz w:val="28"/>
          <w:szCs w:val="28"/>
        </w:rPr>
        <w:fldChar w:fldCharType="end"/>
      </w:r>
    </w:p>
    <w:p w14:paraId="47D4A208">
      <w:pPr>
        <w:pStyle w:val="5"/>
        <w:tabs>
          <w:tab w:val="right" w:leader="dot" w:pos="8296"/>
        </w:tabs>
        <w:rPr>
          <w:sz w:val="28"/>
          <w:szCs w:val="28"/>
        </w:rPr>
      </w:pPr>
      <w:r>
        <w:fldChar w:fldCharType="begin"/>
      </w:r>
      <w:r>
        <w:instrText xml:space="preserve"> HYPERLINK \l "_Toc76826082"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重点产业发展势头强劲</w:t>
      </w:r>
      <w:r>
        <w:rPr>
          <w:sz w:val="28"/>
          <w:szCs w:val="28"/>
        </w:rPr>
        <w:tab/>
      </w:r>
      <w:r>
        <w:rPr>
          <w:sz w:val="28"/>
          <w:szCs w:val="28"/>
        </w:rPr>
        <w:fldChar w:fldCharType="begin"/>
      </w:r>
      <w:r>
        <w:rPr>
          <w:sz w:val="28"/>
          <w:szCs w:val="28"/>
        </w:rPr>
        <w:instrText xml:space="preserve"> PAGEREF _Toc76826082 \h </w:instrText>
      </w:r>
      <w:r>
        <w:rPr>
          <w:sz w:val="28"/>
          <w:szCs w:val="28"/>
        </w:rPr>
        <w:fldChar w:fldCharType="separate"/>
      </w:r>
      <w:r>
        <w:rPr>
          <w:sz w:val="28"/>
          <w:szCs w:val="28"/>
        </w:rPr>
        <w:t>3</w:t>
      </w:r>
      <w:r>
        <w:rPr>
          <w:sz w:val="28"/>
          <w:szCs w:val="28"/>
        </w:rPr>
        <w:fldChar w:fldCharType="end"/>
      </w:r>
      <w:r>
        <w:rPr>
          <w:sz w:val="28"/>
          <w:szCs w:val="28"/>
        </w:rPr>
        <w:fldChar w:fldCharType="end"/>
      </w:r>
    </w:p>
    <w:p w14:paraId="51EE713D">
      <w:pPr>
        <w:pStyle w:val="5"/>
        <w:tabs>
          <w:tab w:val="right" w:leader="dot" w:pos="8296"/>
        </w:tabs>
        <w:rPr>
          <w:sz w:val="28"/>
          <w:szCs w:val="28"/>
        </w:rPr>
      </w:pPr>
      <w:r>
        <w:fldChar w:fldCharType="begin"/>
      </w:r>
      <w:r>
        <w:instrText xml:space="preserve"> HYPERLINK \l "_Toc76826083"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产业创新持续推进</w:t>
      </w:r>
      <w:r>
        <w:rPr>
          <w:sz w:val="28"/>
          <w:szCs w:val="28"/>
        </w:rPr>
        <w:tab/>
      </w:r>
      <w:r>
        <w:rPr>
          <w:sz w:val="28"/>
          <w:szCs w:val="28"/>
        </w:rPr>
        <w:fldChar w:fldCharType="begin"/>
      </w:r>
      <w:r>
        <w:rPr>
          <w:sz w:val="28"/>
          <w:szCs w:val="28"/>
        </w:rPr>
        <w:instrText xml:space="preserve"> PAGEREF _Toc76826083 \h </w:instrText>
      </w:r>
      <w:r>
        <w:rPr>
          <w:sz w:val="28"/>
          <w:szCs w:val="28"/>
        </w:rPr>
        <w:fldChar w:fldCharType="separate"/>
      </w:r>
      <w:r>
        <w:rPr>
          <w:sz w:val="28"/>
          <w:szCs w:val="28"/>
        </w:rPr>
        <w:t>5</w:t>
      </w:r>
      <w:r>
        <w:rPr>
          <w:sz w:val="28"/>
          <w:szCs w:val="28"/>
        </w:rPr>
        <w:fldChar w:fldCharType="end"/>
      </w:r>
      <w:r>
        <w:rPr>
          <w:sz w:val="28"/>
          <w:szCs w:val="28"/>
        </w:rPr>
        <w:fldChar w:fldCharType="end"/>
      </w:r>
    </w:p>
    <w:p w14:paraId="4F3211C3">
      <w:pPr>
        <w:pStyle w:val="5"/>
        <w:tabs>
          <w:tab w:val="right" w:leader="dot" w:pos="8296"/>
        </w:tabs>
        <w:rPr>
          <w:sz w:val="28"/>
          <w:szCs w:val="28"/>
        </w:rPr>
      </w:pPr>
      <w:r>
        <w:fldChar w:fldCharType="begin"/>
      </w:r>
      <w:r>
        <w:instrText xml:space="preserve"> HYPERLINK \l "_Toc76826084" </w:instrText>
      </w:r>
      <w:r>
        <w:fldChar w:fldCharType="separate"/>
      </w:r>
      <w:r>
        <w:rPr>
          <w:rStyle w:val="13"/>
          <w:rFonts w:ascii="仿宋_GB2312" w:hAnsi="Times New Roman" w:eastAsia="仿宋_GB2312"/>
          <w:sz w:val="28"/>
          <w:szCs w:val="28"/>
        </w:rPr>
        <w:t>5.</w:t>
      </w:r>
      <w:r>
        <w:rPr>
          <w:rStyle w:val="13"/>
          <w:rFonts w:hint="eastAsia" w:ascii="仿宋_GB2312" w:hAnsi="Times New Roman" w:eastAsia="仿宋_GB2312"/>
          <w:sz w:val="28"/>
          <w:szCs w:val="28"/>
        </w:rPr>
        <w:t>绿色发展取得积极成效</w:t>
      </w:r>
      <w:r>
        <w:rPr>
          <w:sz w:val="28"/>
          <w:szCs w:val="28"/>
        </w:rPr>
        <w:tab/>
      </w:r>
      <w:r>
        <w:rPr>
          <w:sz w:val="28"/>
          <w:szCs w:val="28"/>
        </w:rPr>
        <w:fldChar w:fldCharType="begin"/>
      </w:r>
      <w:r>
        <w:rPr>
          <w:sz w:val="28"/>
          <w:szCs w:val="28"/>
        </w:rPr>
        <w:instrText xml:space="preserve"> PAGEREF _Toc76826084 \h </w:instrText>
      </w:r>
      <w:r>
        <w:rPr>
          <w:sz w:val="28"/>
          <w:szCs w:val="28"/>
        </w:rPr>
        <w:fldChar w:fldCharType="separate"/>
      </w:r>
      <w:r>
        <w:rPr>
          <w:sz w:val="28"/>
          <w:szCs w:val="28"/>
        </w:rPr>
        <w:t>6</w:t>
      </w:r>
      <w:r>
        <w:rPr>
          <w:sz w:val="28"/>
          <w:szCs w:val="28"/>
        </w:rPr>
        <w:fldChar w:fldCharType="end"/>
      </w:r>
      <w:r>
        <w:rPr>
          <w:sz w:val="28"/>
          <w:szCs w:val="28"/>
        </w:rPr>
        <w:fldChar w:fldCharType="end"/>
      </w:r>
    </w:p>
    <w:p w14:paraId="29F8205D">
      <w:pPr>
        <w:pStyle w:val="5"/>
        <w:tabs>
          <w:tab w:val="right" w:leader="dot" w:pos="8296"/>
        </w:tabs>
        <w:rPr>
          <w:sz w:val="28"/>
          <w:szCs w:val="28"/>
        </w:rPr>
      </w:pPr>
      <w:r>
        <w:fldChar w:fldCharType="begin"/>
      </w:r>
      <w:r>
        <w:instrText xml:space="preserve"> HYPERLINK \l "_Toc76826085" </w:instrText>
      </w:r>
      <w:r>
        <w:fldChar w:fldCharType="separate"/>
      </w:r>
      <w:r>
        <w:rPr>
          <w:rStyle w:val="13"/>
          <w:rFonts w:ascii="仿宋_GB2312" w:hAnsi="Times New Roman" w:eastAsia="仿宋_GB2312"/>
          <w:sz w:val="28"/>
          <w:szCs w:val="28"/>
        </w:rPr>
        <w:t>6.</w:t>
      </w:r>
      <w:r>
        <w:rPr>
          <w:rStyle w:val="13"/>
          <w:rFonts w:hint="eastAsia" w:ascii="仿宋_GB2312" w:hAnsi="Times New Roman" w:eastAsia="仿宋_GB2312"/>
          <w:sz w:val="28"/>
          <w:szCs w:val="28"/>
        </w:rPr>
        <w:t>产业布局持续优化</w:t>
      </w:r>
      <w:r>
        <w:rPr>
          <w:sz w:val="28"/>
          <w:szCs w:val="28"/>
        </w:rPr>
        <w:tab/>
      </w:r>
      <w:r>
        <w:rPr>
          <w:sz w:val="28"/>
          <w:szCs w:val="28"/>
        </w:rPr>
        <w:fldChar w:fldCharType="begin"/>
      </w:r>
      <w:r>
        <w:rPr>
          <w:sz w:val="28"/>
          <w:szCs w:val="28"/>
        </w:rPr>
        <w:instrText xml:space="preserve"> PAGEREF _Toc76826085 \h </w:instrText>
      </w:r>
      <w:r>
        <w:rPr>
          <w:sz w:val="28"/>
          <w:szCs w:val="28"/>
        </w:rPr>
        <w:fldChar w:fldCharType="separate"/>
      </w:r>
      <w:r>
        <w:rPr>
          <w:sz w:val="28"/>
          <w:szCs w:val="28"/>
        </w:rPr>
        <w:t>7</w:t>
      </w:r>
      <w:r>
        <w:rPr>
          <w:sz w:val="28"/>
          <w:szCs w:val="28"/>
        </w:rPr>
        <w:fldChar w:fldCharType="end"/>
      </w:r>
      <w:r>
        <w:rPr>
          <w:sz w:val="28"/>
          <w:szCs w:val="28"/>
        </w:rPr>
        <w:fldChar w:fldCharType="end"/>
      </w:r>
    </w:p>
    <w:p w14:paraId="1B70CFFC">
      <w:pPr>
        <w:pStyle w:val="8"/>
        <w:tabs>
          <w:tab w:val="right" w:leader="dot" w:pos="8296"/>
        </w:tabs>
        <w:rPr>
          <w:sz w:val="28"/>
          <w:szCs w:val="28"/>
        </w:rPr>
      </w:pPr>
      <w:r>
        <w:fldChar w:fldCharType="begin"/>
      </w:r>
      <w:r>
        <w:instrText xml:space="preserve"> HYPERLINK \l "_Toc76826086" </w:instrText>
      </w:r>
      <w:r>
        <w:fldChar w:fldCharType="separate"/>
      </w:r>
      <w:r>
        <w:rPr>
          <w:rStyle w:val="13"/>
          <w:rFonts w:hint="eastAsia" w:ascii="楷体_GB2312" w:hAnsi="仿宋" w:eastAsia="楷体_GB2312"/>
          <w:sz w:val="28"/>
          <w:szCs w:val="28"/>
        </w:rPr>
        <w:t>（二）存在的主要问题</w:t>
      </w:r>
      <w:r>
        <w:rPr>
          <w:sz w:val="28"/>
          <w:szCs w:val="28"/>
        </w:rPr>
        <w:tab/>
      </w:r>
      <w:r>
        <w:rPr>
          <w:sz w:val="28"/>
          <w:szCs w:val="28"/>
        </w:rPr>
        <w:fldChar w:fldCharType="begin"/>
      </w:r>
      <w:r>
        <w:rPr>
          <w:sz w:val="28"/>
          <w:szCs w:val="28"/>
        </w:rPr>
        <w:instrText xml:space="preserve"> PAGEREF _Toc76826086 \h </w:instrText>
      </w:r>
      <w:r>
        <w:rPr>
          <w:sz w:val="28"/>
          <w:szCs w:val="28"/>
        </w:rPr>
        <w:fldChar w:fldCharType="separate"/>
      </w:r>
      <w:r>
        <w:rPr>
          <w:sz w:val="28"/>
          <w:szCs w:val="28"/>
        </w:rPr>
        <w:t>8</w:t>
      </w:r>
      <w:r>
        <w:rPr>
          <w:sz w:val="28"/>
          <w:szCs w:val="28"/>
        </w:rPr>
        <w:fldChar w:fldCharType="end"/>
      </w:r>
      <w:r>
        <w:rPr>
          <w:sz w:val="28"/>
          <w:szCs w:val="28"/>
        </w:rPr>
        <w:fldChar w:fldCharType="end"/>
      </w:r>
    </w:p>
    <w:p w14:paraId="4409AAC7">
      <w:pPr>
        <w:pStyle w:val="5"/>
        <w:tabs>
          <w:tab w:val="right" w:leader="dot" w:pos="8296"/>
        </w:tabs>
        <w:rPr>
          <w:sz w:val="28"/>
          <w:szCs w:val="28"/>
        </w:rPr>
      </w:pPr>
      <w:r>
        <w:fldChar w:fldCharType="begin"/>
      </w:r>
      <w:r>
        <w:instrText xml:space="preserve"> HYPERLINK \l "_Toc76826087"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工业结构不平衡</w:t>
      </w:r>
      <w:r>
        <w:rPr>
          <w:sz w:val="28"/>
          <w:szCs w:val="28"/>
        </w:rPr>
        <w:tab/>
      </w:r>
      <w:r>
        <w:rPr>
          <w:sz w:val="28"/>
          <w:szCs w:val="28"/>
        </w:rPr>
        <w:fldChar w:fldCharType="begin"/>
      </w:r>
      <w:r>
        <w:rPr>
          <w:sz w:val="28"/>
          <w:szCs w:val="28"/>
        </w:rPr>
        <w:instrText xml:space="preserve"> PAGEREF _Toc76826087 \h </w:instrText>
      </w:r>
      <w:r>
        <w:rPr>
          <w:sz w:val="28"/>
          <w:szCs w:val="28"/>
        </w:rPr>
        <w:fldChar w:fldCharType="separate"/>
      </w:r>
      <w:r>
        <w:rPr>
          <w:sz w:val="28"/>
          <w:szCs w:val="28"/>
        </w:rPr>
        <w:t>8</w:t>
      </w:r>
      <w:r>
        <w:rPr>
          <w:sz w:val="28"/>
          <w:szCs w:val="28"/>
        </w:rPr>
        <w:fldChar w:fldCharType="end"/>
      </w:r>
      <w:r>
        <w:rPr>
          <w:sz w:val="28"/>
          <w:szCs w:val="28"/>
        </w:rPr>
        <w:fldChar w:fldCharType="end"/>
      </w:r>
    </w:p>
    <w:p w14:paraId="3B3B2F7D">
      <w:pPr>
        <w:pStyle w:val="5"/>
        <w:tabs>
          <w:tab w:val="right" w:leader="dot" w:pos="8296"/>
        </w:tabs>
        <w:rPr>
          <w:sz w:val="28"/>
          <w:szCs w:val="28"/>
        </w:rPr>
      </w:pPr>
      <w:r>
        <w:fldChar w:fldCharType="begin"/>
      </w:r>
      <w:r>
        <w:instrText xml:space="preserve"> HYPERLINK \l "_Toc76826088"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发展质量需进一步提升</w:t>
      </w:r>
      <w:r>
        <w:rPr>
          <w:sz w:val="28"/>
          <w:szCs w:val="28"/>
        </w:rPr>
        <w:tab/>
      </w:r>
      <w:r>
        <w:rPr>
          <w:sz w:val="28"/>
          <w:szCs w:val="28"/>
        </w:rPr>
        <w:fldChar w:fldCharType="begin"/>
      </w:r>
      <w:r>
        <w:rPr>
          <w:sz w:val="28"/>
          <w:szCs w:val="28"/>
        </w:rPr>
        <w:instrText xml:space="preserve"> PAGEREF _Toc76826088 \h </w:instrText>
      </w:r>
      <w:r>
        <w:rPr>
          <w:sz w:val="28"/>
          <w:szCs w:val="28"/>
        </w:rPr>
        <w:fldChar w:fldCharType="separate"/>
      </w:r>
      <w:r>
        <w:rPr>
          <w:sz w:val="28"/>
          <w:szCs w:val="28"/>
        </w:rPr>
        <w:t>9</w:t>
      </w:r>
      <w:r>
        <w:rPr>
          <w:sz w:val="28"/>
          <w:szCs w:val="28"/>
        </w:rPr>
        <w:fldChar w:fldCharType="end"/>
      </w:r>
      <w:r>
        <w:rPr>
          <w:sz w:val="28"/>
          <w:szCs w:val="28"/>
        </w:rPr>
        <w:fldChar w:fldCharType="end"/>
      </w:r>
    </w:p>
    <w:p w14:paraId="41FD8515">
      <w:pPr>
        <w:pStyle w:val="5"/>
        <w:tabs>
          <w:tab w:val="right" w:leader="dot" w:pos="8296"/>
        </w:tabs>
        <w:rPr>
          <w:sz w:val="28"/>
          <w:szCs w:val="28"/>
        </w:rPr>
      </w:pPr>
      <w:r>
        <w:fldChar w:fldCharType="begin"/>
      </w:r>
      <w:r>
        <w:instrText xml:space="preserve"> HYPERLINK \l "_Toc76826089"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创新驱动能力有待进一步增强</w:t>
      </w:r>
      <w:r>
        <w:rPr>
          <w:sz w:val="28"/>
          <w:szCs w:val="28"/>
        </w:rPr>
        <w:tab/>
      </w:r>
      <w:r>
        <w:rPr>
          <w:sz w:val="28"/>
          <w:szCs w:val="28"/>
        </w:rPr>
        <w:fldChar w:fldCharType="begin"/>
      </w:r>
      <w:r>
        <w:rPr>
          <w:sz w:val="28"/>
          <w:szCs w:val="28"/>
        </w:rPr>
        <w:instrText xml:space="preserve"> PAGEREF _Toc76826089 \h </w:instrText>
      </w:r>
      <w:r>
        <w:rPr>
          <w:sz w:val="28"/>
          <w:szCs w:val="28"/>
        </w:rPr>
        <w:fldChar w:fldCharType="separate"/>
      </w:r>
      <w:r>
        <w:rPr>
          <w:sz w:val="28"/>
          <w:szCs w:val="28"/>
        </w:rPr>
        <w:t>9</w:t>
      </w:r>
      <w:r>
        <w:rPr>
          <w:sz w:val="28"/>
          <w:szCs w:val="28"/>
        </w:rPr>
        <w:fldChar w:fldCharType="end"/>
      </w:r>
      <w:r>
        <w:rPr>
          <w:sz w:val="28"/>
          <w:szCs w:val="28"/>
        </w:rPr>
        <w:fldChar w:fldCharType="end"/>
      </w:r>
    </w:p>
    <w:p w14:paraId="5CE18D03">
      <w:pPr>
        <w:pStyle w:val="5"/>
        <w:tabs>
          <w:tab w:val="right" w:leader="dot" w:pos="8296"/>
        </w:tabs>
        <w:rPr>
          <w:sz w:val="28"/>
          <w:szCs w:val="28"/>
        </w:rPr>
      </w:pPr>
      <w:r>
        <w:fldChar w:fldCharType="begin"/>
      </w:r>
      <w:r>
        <w:instrText xml:space="preserve"> HYPERLINK \l "_Toc76826090"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要素制约先进制造业发展依然明显</w:t>
      </w:r>
      <w:r>
        <w:rPr>
          <w:sz w:val="28"/>
          <w:szCs w:val="28"/>
        </w:rPr>
        <w:tab/>
      </w:r>
      <w:r>
        <w:rPr>
          <w:sz w:val="28"/>
          <w:szCs w:val="28"/>
        </w:rPr>
        <w:fldChar w:fldCharType="begin"/>
      </w:r>
      <w:r>
        <w:rPr>
          <w:sz w:val="28"/>
          <w:szCs w:val="28"/>
        </w:rPr>
        <w:instrText xml:space="preserve"> PAGEREF _Toc76826090 \h </w:instrText>
      </w:r>
      <w:r>
        <w:rPr>
          <w:sz w:val="28"/>
          <w:szCs w:val="28"/>
        </w:rPr>
        <w:fldChar w:fldCharType="separate"/>
      </w:r>
      <w:r>
        <w:rPr>
          <w:sz w:val="28"/>
          <w:szCs w:val="28"/>
        </w:rPr>
        <w:t>10</w:t>
      </w:r>
      <w:r>
        <w:rPr>
          <w:sz w:val="28"/>
          <w:szCs w:val="28"/>
        </w:rPr>
        <w:fldChar w:fldCharType="end"/>
      </w:r>
      <w:r>
        <w:rPr>
          <w:sz w:val="28"/>
          <w:szCs w:val="28"/>
        </w:rPr>
        <w:fldChar w:fldCharType="end"/>
      </w:r>
    </w:p>
    <w:p w14:paraId="763072AD">
      <w:pPr>
        <w:pStyle w:val="7"/>
        <w:tabs>
          <w:tab w:val="right" w:leader="dot" w:pos="8296"/>
        </w:tabs>
        <w:rPr>
          <w:sz w:val="28"/>
          <w:szCs w:val="28"/>
        </w:rPr>
      </w:pPr>
      <w:r>
        <w:fldChar w:fldCharType="begin"/>
      </w:r>
      <w:r>
        <w:instrText xml:space="preserve"> HYPERLINK \l "_Toc76826091" </w:instrText>
      </w:r>
      <w:r>
        <w:fldChar w:fldCharType="separate"/>
      </w:r>
      <w:r>
        <w:rPr>
          <w:rStyle w:val="13"/>
          <w:rFonts w:hint="eastAsia" w:ascii="黑体" w:hAnsi="黑体" w:eastAsia="黑体"/>
          <w:sz w:val="28"/>
          <w:szCs w:val="28"/>
        </w:rPr>
        <w:t>二、发展环境</w:t>
      </w:r>
      <w:r>
        <w:rPr>
          <w:sz w:val="28"/>
          <w:szCs w:val="28"/>
        </w:rPr>
        <w:tab/>
      </w:r>
      <w:r>
        <w:rPr>
          <w:sz w:val="28"/>
          <w:szCs w:val="28"/>
        </w:rPr>
        <w:fldChar w:fldCharType="begin"/>
      </w:r>
      <w:r>
        <w:rPr>
          <w:sz w:val="28"/>
          <w:szCs w:val="28"/>
        </w:rPr>
        <w:instrText xml:space="preserve"> PAGEREF _Toc76826091 \h </w:instrText>
      </w:r>
      <w:r>
        <w:rPr>
          <w:sz w:val="28"/>
          <w:szCs w:val="28"/>
        </w:rPr>
        <w:fldChar w:fldCharType="separate"/>
      </w:r>
      <w:r>
        <w:rPr>
          <w:sz w:val="28"/>
          <w:szCs w:val="28"/>
        </w:rPr>
        <w:t>10</w:t>
      </w:r>
      <w:r>
        <w:rPr>
          <w:sz w:val="28"/>
          <w:szCs w:val="28"/>
        </w:rPr>
        <w:fldChar w:fldCharType="end"/>
      </w:r>
      <w:r>
        <w:rPr>
          <w:sz w:val="28"/>
          <w:szCs w:val="28"/>
        </w:rPr>
        <w:fldChar w:fldCharType="end"/>
      </w:r>
    </w:p>
    <w:p w14:paraId="0FDDDC4C">
      <w:pPr>
        <w:pStyle w:val="8"/>
        <w:tabs>
          <w:tab w:val="right" w:leader="dot" w:pos="8296"/>
        </w:tabs>
        <w:rPr>
          <w:sz w:val="28"/>
          <w:szCs w:val="28"/>
        </w:rPr>
      </w:pPr>
      <w:r>
        <w:fldChar w:fldCharType="begin"/>
      </w:r>
      <w:r>
        <w:instrText xml:space="preserve"> HYPERLINK \l "_Toc76826092" </w:instrText>
      </w:r>
      <w:r>
        <w:fldChar w:fldCharType="separate"/>
      </w:r>
      <w:r>
        <w:rPr>
          <w:rStyle w:val="13"/>
          <w:rFonts w:hint="eastAsia" w:ascii="楷体_GB2312" w:hAnsi="仿宋" w:eastAsia="楷体_GB2312"/>
          <w:sz w:val="28"/>
          <w:szCs w:val="28"/>
        </w:rPr>
        <w:t>（一）产业发展态势</w:t>
      </w:r>
      <w:r>
        <w:rPr>
          <w:sz w:val="28"/>
          <w:szCs w:val="28"/>
        </w:rPr>
        <w:tab/>
      </w:r>
      <w:r>
        <w:rPr>
          <w:sz w:val="28"/>
          <w:szCs w:val="28"/>
        </w:rPr>
        <w:fldChar w:fldCharType="begin"/>
      </w:r>
      <w:r>
        <w:rPr>
          <w:sz w:val="28"/>
          <w:szCs w:val="28"/>
        </w:rPr>
        <w:instrText xml:space="preserve"> PAGEREF _Toc76826092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370BB56A">
      <w:pPr>
        <w:pStyle w:val="5"/>
        <w:tabs>
          <w:tab w:val="right" w:leader="dot" w:pos="8296"/>
        </w:tabs>
        <w:rPr>
          <w:sz w:val="28"/>
          <w:szCs w:val="28"/>
        </w:rPr>
      </w:pPr>
      <w:r>
        <w:fldChar w:fldCharType="begin"/>
      </w:r>
      <w:r>
        <w:instrText xml:space="preserve"> HYPERLINK \l "_Toc76826093"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全球产业竞争愈加激烈，发达国家制造业“逆向回流”</w:t>
      </w:r>
      <w:r>
        <w:rPr>
          <w:sz w:val="28"/>
          <w:szCs w:val="28"/>
        </w:rPr>
        <w:tab/>
      </w:r>
      <w:r>
        <w:rPr>
          <w:sz w:val="28"/>
          <w:szCs w:val="28"/>
        </w:rPr>
        <w:fldChar w:fldCharType="begin"/>
      </w:r>
      <w:r>
        <w:rPr>
          <w:sz w:val="28"/>
          <w:szCs w:val="28"/>
        </w:rPr>
        <w:instrText xml:space="preserve"> PAGEREF _Toc76826093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0CEE03EC">
      <w:pPr>
        <w:pStyle w:val="5"/>
        <w:tabs>
          <w:tab w:val="right" w:leader="dot" w:pos="8296"/>
        </w:tabs>
        <w:rPr>
          <w:sz w:val="28"/>
          <w:szCs w:val="28"/>
        </w:rPr>
      </w:pPr>
      <w:r>
        <w:fldChar w:fldCharType="begin"/>
      </w:r>
      <w:r>
        <w:instrText xml:space="preserve"> HYPERLINK \l "_Toc76826094"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我国产业转向高质量发展，战略性新兴产业竞争力跃升</w:t>
      </w:r>
      <w:r>
        <w:rPr>
          <w:sz w:val="28"/>
          <w:szCs w:val="28"/>
        </w:rPr>
        <w:tab/>
      </w:r>
      <w:r>
        <w:rPr>
          <w:sz w:val="28"/>
          <w:szCs w:val="28"/>
        </w:rPr>
        <w:fldChar w:fldCharType="begin"/>
      </w:r>
      <w:r>
        <w:rPr>
          <w:sz w:val="28"/>
          <w:szCs w:val="28"/>
        </w:rPr>
        <w:instrText xml:space="preserve"> PAGEREF _Toc76826094 \h </w:instrText>
      </w:r>
      <w:r>
        <w:rPr>
          <w:sz w:val="28"/>
          <w:szCs w:val="28"/>
        </w:rPr>
        <w:fldChar w:fldCharType="separate"/>
      </w:r>
      <w:r>
        <w:rPr>
          <w:sz w:val="28"/>
          <w:szCs w:val="28"/>
        </w:rPr>
        <w:t>12</w:t>
      </w:r>
      <w:r>
        <w:rPr>
          <w:sz w:val="28"/>
          <w:szCs w:val="28"/>
        </w:rPr>
        <w:fldChar w:fldCharType="end"/>
      </w:r>
      <w:r>
        <w:rPr>
          <w:sz w:val="28"/>
          <w:szCs w:val="28"/>
        </w:rPr>
        <w:fldChar w:fldCharType="end"/>
      </w:r>
    </w:p>
    <w:p w14:paraId="074915F8">
      <w:pPr>
        <w:pStyle w:val="5"/>
        <w:tabs>
          <w:tab w:val="right" w:leader="dot" w:pos="8296"/>
        </w:tabs>
        <w:rPr>
          <w:sz w:val="28"/>
          <w:szCs w:val="28"/>
        </w:rPr>
      </w:pPr>
      <w:r>
        <w:fldChar w:fldCharType="begin"/>
      </w:r>
      <w:r>
        <w:instrText xml:space="preserve"> HYPERLINK \l "_Toc76826095"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广州大力发展新兴产业，促进传统产业转型</w:t>
      </w:r>
      <w:r>
        <w:rPr>
          <w:sz w:val="28"/>
          <w:szCs w:val="28"/>
        </w:rPr>
        <w:tab/>
      </w:r>
      <w:r>
        <w:rPr>
          <w:sz w:val="28"/>
          <w:szCs w:val="28"/>
        </w:rPr>
        <w:fldChar w:fldCharType="begin"/>
      </w:r>
      <w:r>
        <w:rPr>
          <w:sz w:val="28"/>
          <w:szCs w:val="28"/>
        </w:rPr>
        <w:instrText xml:space="preserve"> PAGEREF _Toc76826095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69BE286">
      <w:pPr>
        <w:pStyle w:val="8"/>
        <w:tabs>
          <w:tab w:val="right" w:leader="dot" w:pos="8296"/>
        </w:tabs>
        <w:rPr>
          <w:sz w:val="28"/>
          <w:szCs w:val="28"/>
        </w:rPr>
      </w:pPr>
      <w:r>
        <w:fldChar w:fldCharType="begin"/>
      </w:r>
      <w:r>
        <w:instrText xml:space="preserve"> HYPERLINK \l "_Toc76826096" </w:instrText>
      </w:r>
      <w:r>
        <w:fldChar w:fldCharType="separate"/>
      </w:r>
      <w:r>
        <w:rPr>
          <w:rStyle w:val="13"/>
          <w:rFonts w:hint="eastAsia" w:ascii="楷体_GB2312" w:hAnsi="仿宋" w:eastAsia="楷体_GB2312"/>
          <w:sz w:val="28"/>
          <w:szCs w:val="28"/>
        </w:rPr>
        <w:t>（二）机遇</w:t>
      </w:r>
      <w:r>
        <w:rPr>
          <w:sz w:val="28"/>
          <w:szCs w:val="28"/>
        </w:rPr>
        <w:tab/>
      </w:r>
      <w:r>
        <w:rPr>
          <w:sz w:val="28"/>
          <w:szCs w:val="28"/>
        </w:rPr>
        <w:fldChar w:fldCharType="begin"/>
      </w:r>
      <w:r>
        <w:rPr>
          <w:sz w:val="28"/>
          <w:szCs w:val="28"/>
        </w:rPr>
        <w:instrText xml:space="preserve"> PAGEREF _Toc76826096 \h </w:instrText>
      </w:r>
      <w:r>
        <w:rPr>
          <w:sz w:val="28"/>
          <w:szCs w:val="28"/>
        </w:rPr>
        <w:fldChar w:fldCharType="separate"/>
      </w:r>
      <w:r>
        <w:rPr>
          <w:sz w:val="28"/>
          <w:szCs w:val="28"/>
        </w:rPr>
        <w:t>13</w:t>
      </w:r>
      <w:r>
        <w:rPr>
          <w:sz w:val="28"/>
          <w:szCs w:val="28"/>
        </w:rPr>
        <w:fldChar w:fldCharType="end"/>
      </w:r>
      <w:r>
        <w:rPr>
          <w:sz w:val="28"/>
          <w:szCs w:val="28"/>
        </w:rPr>
        <w:fldChar w:fldCharType="end"/>
      </w:r>
    </w:p>
    <w:p w14:paraId="3311A9E7">
      <w:pPr>
        <w:pStyle w:val="5"/>
        <w:tabs>
          <w:tab w:val="right" w:leader="dot" w:pos="8296"/>
        </w:tabs>
        <w:rPr>
          <w:sz w:val="28"/>
          <w:szCs w:val="28"/>
        </w:rPr>
      </w:pPr>
      <w:r>
        <w:fldChar w:fldCharType="begin"/>
      </w:r>
      <w:r>
        <w:instrText xml:space="preserve"> HYPERLINK \l "_Toc76826097"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新一轮科技革命和产业革命孕育新契机</w:t>
      </w:r>
      <w:r>
        <w:rPr>
          <w:sz w:val="28"/>
          <w:szCs w:val="28"/>
        </w:rPr>
        <w:tab/>
      </w:r>
      <w:r>
        <w:rPr>
          <w:sz w:val="28"/>
          <w:szCs w:val="28"/>
        </w:rPr>
        <w:fldChar w:fldCharType="begin"/>
      </w:r>
      <w:r>
        <w:rPr>
          <w:sz w:val="28"/>
          <w:szCs w:val="28"/>
        </w:rPr>
        <w:instrText xml:space="preserve"> PAGEREF _Toc76826097 \h </w:instrText>
      </w:r>
      <w:r>
        <w:rPr>
          <w:sz w:val="28"/>
          <w:szCs w:val="28"/>
        </w:rPr>
        <w:fldChar w:fldCharType="separate"/>
      </w:r>
      <w:r>
        <w:rPr>
          <w:sz w:val="28"/>
          <w:szCs w:val="28"/>
        </w:rPr>
        <w:t>13</w:t>
      </w:r>
      <w:r>
        <w:rPr>
          <w:sz w:val="28"/>
          <w:szCs w:val="28"/>
        </w:rPr>
        <w:fldChar w:fldCharType="end"/>
      </w:r>
      <w:r>
        <w:rPr>
          <w:sz w:val="28"/>
          <w:szCs w:val="28"/>
        </w:rPr>
        <w:fldChar w:fldCharType="end"/>
      </w:r>
    </w:p>
    <w:p w14:paraId="0C7B3700">
      <w:pPr>
        <w:pStyle w:val="5"/>
        <w:tabs>
          <w:tab w:val="right" w:leader="dot" w:pos="8296"/>
        </w:tabs>
        <w:rPr>
          <w:sz w:val="28"/>
          <w:szCs w:val="28"/>
        </w:rPr>
      </w:pPr>
      <w:r>
        <w:fldChar w:fldCharType="begin"/>
      </w:r>
      <w:r>
        <w:instrText xml:space="preserve"> HYPERLINK \l "_Toc76826098"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构建新发展格局促进先进制造业发展提速</w:t>
      </w:r>
      <w:r>
        <w:rPr>
          <w:sz w:val="28"/>
          <w:szCs w:val="28"/>
        </w:rPr>
        <w:tab/>
      </w:r>
      <w:r>
        <w:rPr>
          <w:sz w:val="28"/>
          <w:szCs w:val="28"/>
        </w:rPr>
        <w:fldChar w:fldCharType="begin"/>
      </w:r>
      <w:r>
        <w:rPr>
          <w:sz w:val="28"/>
          <w:szCs w:val="28"/>
        </w:rPr>
        <w:instrText xml:space="preserve"> PAGEREF _Toc76826098 \h </w:instrText>
      </w:r>
      <w:r>
        <w:rPr>
          <w:sz w:val="28"/>
          <w:szCs w:val="28"/>
        </w:rPr>
        <w:fldChar w:fldCharType="separate"/>
      </w:r>
      <w:r>
        <w:rPr>
          <w:sz w:val="28"/>
          <w:szCs w:val="28"/>
        </w:rPr>
        <w:t>14</w:t>
      </w:r>
      <w:r>
        <w:rPr>
          <w:sz w:val="28"/>
          <w:szCs w:val="28"/>
        </w:rPr>
        <w:fldChar w:fldCharType="end"/>
      </w:r>
      <w:r>
        <w:rPr>
          <w:sz w:val="28"/>
          <w:szCs w:val="28"/>
        </w:rPr>
        <w:fldChar w:fldCharType="end"/>
      </w:r>
    </w:p>
    <w:p w14:paraId="775406E9">
      <w:pPr>
        <w:pStyle w:val="5"/>
        <w:tabs>
          <w:tab w:val="right" w:leader="dot" w:pos="8296"/>
        </w:tabs>
        <w:rPr>
          <w:sz w:val="28"/>
          <w:szCs w:val="28"/>
        </w:rPr>
      </w:pPr>
      <w:r>
        <w:fldChar w:fldCharType="begin"/>
      </w:r>
      <w:r>
        <w:instrText xml:space="preserve"> HYPERLINK \l "_Toc76826099"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“双区驱动”为先进制造业发展带来新机遇</w:t>
      </w:r>
      <w:r>
        <w:rPr>
          <w:sz w:val="28"/>
          <w:szCs w:val="28"/>
        </w:rPr>
        <w:tab/>
      </w:r>
      <w:r>
        <w:rPr>
          <w:sz w:val="28"/>
          <w:szCs w:val="28"/>
        </w:rPr>
        <w:fldChar w:fldCharType="begin"/>
      </w:r>
      <w:r>
        <w:rPr>
          <w:sz w:val="28"/>
          <w:szCs w:val="28"/>
        </w:rPr>
        <w:instrText xml:space="preserve"> PAGEREF _Toc76826099 \h </w:instrText>
      </w:r>
      <w:r>
        <w:rPr>
          <w:sz w:val="28"/>
          <w:szCs w:val="28"/>
        </w:rPr>
        <w:fldChar w:fldCharType="separate"/>
      </w:r>
      <w:r>
        <w:rPr>
          <w:sz w:val="28"/>
          <w:szCs w:val="28"/>
        </w:rPr>
        <w:t>15</w:t>
      </w:r>
      <w:r>
        <w:rPr>
          <w:sz w:val="28"/>
          <w:szCs w:val="28"/>
        </w:rPr>
        <w:fldChar w:fldCharType="end"/>
      </w:r>
      <w:r>
        <w:rPr>
          <w:sz w:val="28"/>
          <w:szCs w:val="28"/>
        </w:rPr>
        <w:fldChar w:fldCharType="end"/>
      </w:r>
    </w:p>
    <w:p w14:paraId="5E889F1C">
      <w:pPr>
        <w:pStyle w:val="5"/>
        <w:tabs>
          <w:tab w:val="right" w:leader="dot" w:pos="8296"/>
        </w:tabs>
        <w:rPr>
          <w:sz w:val="28"/>
          <w:szCs w:val="28"/>
        </w:rPr>
      </w:pPr>
      <w:r>
        <w:fldChar w:fldCharType="begin"/>
      </w:r>
      <w:r>
        <w:instrText xml:space="preserve"> HYPERLINK \l "_Toc76826100"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国家优惠政策叠加为先进制造业发展创造良好政策环境</w:t>
      </w:r>
      <w:r>
        <w:rPr>
          <w:sz w:val="28"/>
          <w:szCs w:val="28"/>
        </w:rPr>
        <w:tab/>
      </w:r>
      <w:r>
        <w:rPr>
          <w:sz w:val="28"/>
          <w:szCs w:val="28"/>
        </w:rPr>
        <w:fldChar w:fldCharType="begin"/>
      </w:r>
      <w:r>
        <w:rPr>
          <w:sz w:val="28"/>
          <w:szCs w:val="28"/>
        </w:rPr>
        <w:instrText xml:space="preserve"> PAGEREF _Toc76826100 \h </w:instrText>
      </w:r>
      <w:r>
        <w:rPr>
          <w:sz w:val="28"/>
          <w:szCs w:val="28"/>
        </w:rPr>
        <w:fldChar w:fldCharType="separate"/>
      </w:r>
      <w:r>
        <w:rPr>
          <w:sz w:val="28"/>
          <w:szCs w:val="28"/>
        </w:rPr>
        <w:t>15</w:t>
      </w:r>
      <w:r>
        <w:rPr>
          <w:sz w:val="28"/>
          <w:szCs w:val="28"/>
        </w:rPr>
        <w:fldChar w:fldCharType="end"/>
      </w:r>
      <w:r>
        <w:rPr>
          <w:sz w:val="28"/>
          <w:szCs w:val="28"/>
        </w:rPr>
        <w:fldChar w:fldCharType="end"/>
      </w:r>
    </w:p>
    <w:p w14:paraId="4CE4DDC8">
      <w:pPr>
        <w:pStyle w:val="8"/>
        <w:tabs>
          <w:tab w:val="right" w:leader="dot" w:pos="8296"/>
        </w:tabs>
        <w:rPr>
          <w:sz w:val="28"/>
          <w:szCs w:val="28"/>
        </w:rPr>
      </w:pPr>
      <w:r>
        <w:fldChar w:fldCharType="begin"/>
      </w:r>
      <w:r>
        <w:instrText xml:space="preserve"> HYPERLINK \l "_Toc76826101" </w:instrText>
      </w:r>
      <w:r>
        <w:fldChar w:fldCharType="separate"/>
      </w:r>
      <w:r>
        <w:rPr>
          <w:rStyle w:val="13"/>
          <w:rFonts w:hint="eastAsia" w:ascii="楷体_GB2312" w:hAnsi="仿宋" w:eastAsia="楷体_GB2312"/>
          <w:sz w:val="28"/>
          <w:szCs w:val="28"/>
        </w:rPr>
        <w:t>（三）挑战</w:t>
      </w:r>
      <w:r>
        <w:rPr>
          <w:sz w:val="28"/>
          <w:szCs w:val="28"/>
        </w:rPr>
        <w:tab/>
      </w:r>
      <w:r>
        <w:rPr>
          <w:sz w:val="28"/>
          <w:szCs w:val="28"/>
        </w:rPr>
        <w:fldChar w:fldCharType="begin"/>
      </w:r>
      <w:r>
        <w:rPr>
          <w:sz w:val="28"/>
          <w:szCs w:val="28"/>
        </w:rPr>
        <w:instrText xml:space="preserve"> PAGEREF _Toc76826101 \h </w:instrText>
      </w:r>
      <w:r>
        <w:rPr>
          <w:sz w:val="28"/>
          <w:szCs w:val="28"/>
        </w:rPr>
        <w:fldChar w:fldCharType="separate"/>
      </w:r>
      <w:r>
        <w:rPr>
          <w:sz w:val="28"/>
          <w:szCs w:val="28"/>
        </w:rPr>
        <w:t>16</w:t>
      </w:r>
      <w:r>
        <w:rPr>
          <w:sz w:val="28"/>
          <w:szCs w:val="28"/>
        </w:rPr>
        <w:fldChar w:fldCharType="end"/>
      </w:r>
      <w:r>
        <w:rPr>
          <w:sz w:val="28"/>
          <w:szCs w:val="28"/>
        </w:rPr>
        <w:fldChar w:fldCharType="end"/>
      </w:r>
    </w:p>
    <w:p w14:paraId="0380076B">
      <w:pPr>
        <w:pStyle w:val="5"/>
        <w:tabs>
          <w:tab w:val="right" w:leader="dot" w:pos="8296"/>
        </w:tabs>
        <w:rPr>
          <w:sz w:val="28"/>
          <w:szCs w:val="28"/>
        </w:rPr>
      </w:pPr>
      <w:r>
        <w:fldChar w:fldCharType="begin"/>
      </w:r>
      <w:r>
        <w:instrText xml:space="preserve"> HYPERLINK \l "_Toc76826102"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世界经济不稳定因素带来的不确定性</w:t>
      </w:r>
      <w:r>
        <w:rPr>
          <w:sz w:val="28"/>
          <w:szCs w:val="28"/>
        </w:rPr>
        <w:tab/>
      </w:r>
      <w:r>
        <w:rPr>
          <w:sz w:val="28"/>
          <w:szCs w:val="28"/>
        </w:rPr>
        <w:fldChar w:fldCharType="begin"/>
      </w:r>
      <w:r>
        <w:rPr>
          <w:sz w:val="28"/>
          <w:szCs w:val="28"/>
        </w:rPr>
        <w:instrText xml:space="preserve"> PAGEREF _Toc76826102 \h </w:instrText>
      </w:r>
      <w:r>
        <w:rPr>
          <w:sz w:val="28"/>
          <w:szCs w:val="28"/>
        </w:rPr>
        <w:fldChar w:fldCharType="separate"/>
      </w:r>
      <w:r>
        <w:rPr>
          <w:sz w:val="28"/>
          <w:szCs w:val="28"/>
        </w:rPr>
        <w:t>16</w:t>
      </w:r>
      <w:r>
        <w:rPr>
          <w:sz w:val="28"/>
          <w:szCs w:val="28"/>
        </w:rPr>
        <w:fldChar w:fldCharType="end"/>
      </w:r>
      <w:r>
        <w:rPr>
          <w:sz w:val="28"/>
          <w:szCs w:val="28"/>
        </w:rPr>
        <w:fldChar w:fldCharType="end"/>
      </w:r>
    </w:p>
    <w:p w14:paraId="69C9109E">
      <w:pPr>
        <w:pStyle w:val="5"/>
        <w:tabs>
          <w:tab w:val="right" w:leader="dot" w:pos="8296"/>
        </w:tabs>
        <w:rPr>
          <w:sz w:val="28"/>
          <w:szCs w:val="28"/>
        </w:rPr>
      </w:pPr>
      <w:r>
        <w:fldChar w:fldCharType="begin"/>
      </w:r>
      <w:r>
        <w:instrText xml:space="preserve"> HYPERLINK \l "_Toc76826103"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新冠疫情引发的各种不确定性构成潜在威胁</w:t>
      </w:r>
      <w:r>
        <w:rPr>
          <w:sz w:val="28"/>
          <w:szCs w:val="28"/>
        </w:rPr>
        <w:tab/>
      </w:r>
      <w:r>
        <w:rPr>
          <w:sz w:val="28"/>
          <w:szCs w:val="28"/>
        </w:rPr>
        <w:fldChar w:fldCharType="begin"/>
      </w:r>
      <w:r>
        <w:rPr>
          <w:sz w:val="28"/>
          <w:szCs w:val="28"/>
        </w:rPr>
        <w:instrText xml:space="preserve"> PAGEREF _Toc76826103 \h </w:instrText>
      </w:r>
      <w:r>
        <w:rPr>
          <w:sz w:val="28"/>
          <w:szCs w:val="28"/>
        </w:rPr>
        <w:fldChar w:fldCharType="separate"/>
      </w:r>
      <w:r>
        <w:rPr>
          <w:sz w:val="28"/>
          <w:szCs w:val="28"/>
        </w:rPr>
        <w:t>16</w:t>
      </w:r>
      <w:r>
        <w:rPr>
          <w:sz w:val="28"/>
          <w:szCs w:val="28"/>
        </w:rPr>
        <w:fldChar w:fldCharType="end"/>
      </w:r>
      <w:r>
        <w:rPr>
          <w:sz w:val="28"/>
          <w:szCs w:val="28"/>
        </w:rPr>
        <w:fldChar w:fldCharType="end"/>
      </w:r>
    </w:p>
    <w:p w14:paraId="124404C1">
      <w:pPr>
        <w:pStyle w:val="5"/>
        <w:tabs>
          <w:tab w:val="right" w:leader="dot" w:pos="8296"/>
        </w:tabs>
        <w:rPr>
          <w:sz w:val="28"/>
          <w:szCs w:val="28"/>
        </w:rPr>
      </w:pPr>
      <w:r>
        <w:fldChar w:fldCharType="begin"/>
      </w:r>
      <w:r>
        <w:instrText xml:space="preserve"> HYPERLINK \l "_Toc76826104"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国内经济下行压力持续加大带来的潜在风险</w:t>
      </w:r>
      <w:r>
        <w:rPr>
          <w:sz w:val="28"/>
          <w:szCs w:val="28"/>
        </w:rPr>
        <w:tab/>
      </w:r>
      <w:r>
        <w:rPr>
          <w:sz w:val="28"/>
          <w:szCs w:val="28"/>
        </w:rPr>
        <w:fldChar w:fldCharType="begin"/>
      </w:r>
      <w:r>
        <w:rPr>
          <w:sz w:val="28"/>
          <w:szCs w:val="28"/>
        </w:rPr>
        <w:instrText xml:space="preserve"> PAGEREF _Toc76826104 \h </w:instrText>
      </w:r>
      <w:r>
        <w:rPr>
          <w:sz w:val="28"/>
          <w:szCs w:val="28"/>
        </w:rPr>
        <w:fldChar w:fldCharType="separate"/>
      </w:r>
      <w:r>
        <w:rPr>
          <w:sz w:val="28"/>
          <w:szCs w:val="28"/>
        </w:rPr>
        <w:t>17</w:t>
      </w:r>
      <w:r>
        <w:rPr>
          <w:sz w:val="28"/>
          <w:szCs w:val="28"/>
        </w:rPr>
        <w:fldChar w:fldCharType="end"/>
      </w:r>
      <w:r>
        <w:rPr>
          <w:sz w:val="28"/>
          <w:szCs w:val="28"/>
        </w:rPr>
        <w:fldChar w:fldCharType="end"/>
      </w:r>
    </w:p>
    <w:p w14:paraId="1B98646F">
      <w:pPr>
        <w:pStyle w:val="5"/>
        <w:tabs>
          <w:tab w:val="right" w:leader="dot" w:pos="8296"/>
        </w:tabs>
        <w:rPr>
          <w:sz w:val="28"/>
          <w:szCs w:val="28"/>
        </w:rPr>
      </w:pPr>
      <w:r>
        <w:fldChar w:fldCharType="begin"/>
      </w:r>
      <w:r>
        <w:instrText xml:space="preserve"> HYPERLINK \l "_Toc76826105"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区域协同竞争与自身发展的矛盾</w:t>
      </w:r>
      <w:r>
        <w:rPr>
          <w:sz w:val="28"/>
          <w:szCs w:val="28"/>
        </w:rPr>
        <w:tab/>
      </w:r>
      <w:r>
        <w:rPr>
          <w:sz w:val="28"/>
          <w:szCs w:val="28"/>
        </w:rPr>
        <w:fldChar w:fldCharType="begin"/>
      </w:r>
      <w:r>
        <w:rPr>
          <w:sz w:val="28"/>
          <w:szCs w:val="28"/>
        </w:rPr>
        <w:instrText xml:space="preserve"> PAGEREF _Toc76826105 \h </w:instrText>
      </w:r>
      <w:r>
        <w:rPr>
          <w:sz w:val="28"/>
          <w:szCs w:val="28"/>
        </w:rPr>
        <w:fldChar w:fldCharType="separate"/>
      </w:r>
      <w:r>
        <w:rPr>
          <w:sz w:val="28"/>
          <w:szCs w:val="28"/>
        </w:rPr>
        <w:t>17</w:t>
      </w:r>
      <w:r>
        <w:rPr>
          <w:sz w:val="28"/>
          <w:szCs w:val="28"/>
        </w:rPr>
        <w:fldChar w:fldCharType="end"/>
      </w:r>
      <w:r>
        <w:rPr>
          <w:sz w:val="28"/>
          <w:szCs w:val="28"/>
        </w:rPr>
        <w:fldChar w:fldCharType="end"/>
      </w:r>
    </w:p>
    <w:p w14:paraId="0F2DD544">
      <w:pPr>
        <w:pStyle w:val="7"/>
        <w:tabs>
          <w:tab w:val="right" w:leader="dot" w:pos="8296"/>
        </w:tabs>
        <w:rPr>
          <w:sz w:val="28"/>
          <w:szCs w:val="28"/>
        </w:rPr>
      </w:pPr>
      <w:r>
        <w:fldChar w:fldCharType="begin"/>
      </w:r>
      <w:r>
        <w:instrText xml:space="preserve"> HYPERLINK \l "_Toc76826106" </w:instrText>
      </w:r>
      <w:r>
        <w:fldChar w:fldCharType="separate"/>
      </w:r>
      <w:r>
        <w:rPr>
          <w:rStyle w:val="13"/>
          <w:rFonts w:hint="eastAsia" w:ascii="黑体" w:hAnsi="黑体" w:eastAsia="黑体"/>
          <w:sz w:val="28"/>
          <w:szCs w:val="28"/>
        </w:rPr>
        <w:t>三、总体要求</w:t>
      </w:r>
      <w:r>
        <w:rPr>
          <w:sz w:val="28"/>
          <w:szCs w:val="28"/>
        </w:rPr>
        <w:tab/>
      </w:r>
      <w:r>
        <w:rPr>
          <w:sz w:val="28"/>
          <w:szCs w:val="28"/>
        </w:rPr>
        <w:fldChar w:fldCharType="begin"/>
      </w:r>
      <w:r>
        <w:rPr>
          <w:sz w:val="28"/>
          <w:szCs w:val="28"/>
        </w:rPr>
        <w:instrText xml:space="preserve"> PAGEREF _Toc76826106 \h </w:instrText>
      </w:r>
      <w:r>
        <w:rPr>
          <w:sz w:val="28"/>
          <w:szCs w:val="28"/>
        </w:rPr>
        <w:fldChar w:fldCharType="separate"/>
      </w:r>
      <w:r>
        <w:rPr>
          <w:sz w:val="28"/>
          <w:szCs w:val="28"/>
        </w:rPr>
        <w:t>18</w:t>
      </w:r>
      <w:r>
        <w:rPr>
          <w:sz w:val="28"/>
          <w:szCs w:val="28"/>
        </w:rPr>
        <w:fldChar w:fldCharType="end"/>
      </w:r>
      <w:r>
        <w:rPr>
          <w:sz w:val="28"/>
          <w:szCs w:val="28"/>
        </w:rPr>
        <w:fldChar w:fldCharType="end"/>
      </w:r>
    </w:p>
    <w:p w14:paraId="5181C579">
      <w:pPr>
        <w:pStyle w:val="8"/>
        <w:tabs>
          <w:tab w:val="right" w:leader="dot" w:pos="8296"/>
        </w:tabs>
        <w:rPr>
          <w:sz w:val="28"/>
          <w:szCs w:val="28"/>
        </w:rPr>
      </w:pPr>
      <w:r>
        <w:fldChar w:fldCharType="begin"/>
      </w:r>
      <w:r>
        <w:instrText xml:space="preserve"> HYPERLINK \l "_Toc76826107" </w:instrText>
      </w:r>
      <w:r>
        <w:fldChar w:fldCharType="separate"/>
      </w:r>
      <w:r>
        <w:rPr>
          <w:rStyle w:val="13"/>
          <w:rFonts w:hint="eastAsia" w:ascii="楷体_GB2312" w:hAnsi="仿宋" w:eastAsia="楷体_GB2312"/>
          <w:sz w:val="28"/>
          <w:szCs w:val="28"/>
        </w:rPr>
        <w:t>（一）总体思路</w:t>
      </w:r>
      <w:r>
        <w:rPr>
          <w:sz w:val="28"/>
          <w:szCs w:val="28"/>
        </w:rPr>
        <w:tab/>
      </w:r>
      <w:r>
        <w:rPr>
          <w:sz w:val="28"/>
          <w:szCs w:val="28"/>
        </w:rPr>
        <w:fldChar w:fldCharType="begin"/>
      </w:r>
      <w:r>
        <w:rPr>
          <w:sz w:val="28"/>
          <w:szCs w:val="28"/>
        </w:rPr>
        <w:instrText xml:space="preserve"> PAGEREF _Toc76826107 \h </w:instrText>
      </w:r>
      <w:r>
        <w:rPr>
          <w:sz w:val="28"/>
          <w:szCs w:val="28"/>
        </w:rPr>
        <w:fldChar w:fldCharType="separate"/>
      </w:r>
      <w:r>
        <w:rPr>
          <w:sz w:val="28"/>
          <w:szCs w:val="28"/>
        </w:rPr>
        <w:t>18</w:t>
      </w:r>
      <w:r>
        <w:rPr>
          <w:sz w:val="28"/>
          <w:szCs w:val="28"/>
        </w:rPr>
        <w:fldChar w:fldCharType="end"/>
      </w:r>
      <w:r>
        <w:rPr>
          <w:sz w:val="28"/>
          <w:szCs w:val="28"/>
        </w:rPr>
        <w:fldChar w:fldCharType="end"/>
      </w:r>
    </w:p>
    <w:p w14:paraId="3C94B48C">
      <w:pPr>
        <w:pStyle w:val="8"/>
        <w:tabs>
          <w:tab w:val="right" w:leader="dot" w:pos="8296"/>
        </w:tabs>
        <w:rPr>
          <w:sz w:val="28"/>
          <w:szCs w:val="28"/>
        </w:rPr>
      </w:pPr>
      <w:r>
        <w:fldChar w:fldCharType="begin"/>
      </w:r>
      <w:r>
        <w:instrText xml:space="preserve"> HYPERLINK \l "_Toc76826108" </w:instrText>
      </w:r>
      <w:r>
        <w:fldChar w:fldCharType="separate"/>
      </w:r>
      <w:r>
        <w:rPr>
          <w:rStyle w:val="13"/>
          <w:rFonts w:hint="eastAsia" w:ascii="楷体_GB2312" w:hAnsi="仿宋" w:eastAsia="楷体_GB2312"/>
          <w:sz w:val="28"/>
          <w:szCs w:val="28"/>
        </w:rPr>
        <w:t>（二）发展原则</w:t>
      </w:r>
      <w:r>
        <w:rPr>
          <w:sz w:val="28"/>
          <w:szCs w:val="28"/>
        </w:rPr>
        <w:tab/>
      </w:r>
      <w:r>
        <w:rPr>
          <w:sz w:val="28"/>
          <w:szCs w:val="28"/>
        </w:rPr>
        <w:fldChar w:fldCharType="begin"/>
      </w:r>
      <w:r>
        <w:rPr>
          <w:sz w:val="28"/>
          <w:szCs w:val="28"/>
        </w:rPr>
        <w:instrText xml:space="preserve"> PAGEREF _Toc76826108 \h </w:instrText>
      </w:r>
      <w:r>
        <w:rPr>
          <w:sz w:val="28"/>
          <w:szCs w:val="28"/>
        </w:rPr>
        <w:fldChar w:fldCharType="separate"/>
      </w:r>
      <w:r>
        <w:rPr>
          <w:sz w:val="28"/>
          <w:szCs w:val="28"/>
        </w:rPr>
        <w:t>18</w:t>
      </w:r>
      <w:r>
        <w:rPr>
          <w:sz w:val="28"/>
          <w:szCs w:val="28"/>
        </w:rPr>
        <w:fldChar w:fldCharType="end"/>
      </w:r>
      <w:r>
        <w:rPr>
          <w:sz w:val="28"/>
          <w:szCs w:val="28"/>
        </w:rPr>
        <w:fldChar w:fldCharType="end"/>
      </w:r>
    </w:p>
    <w:p w14:paraId="4A7C51C0">
      <w:pPr>
        <w:pStyle w:val="8"/>
        <w:tabs>
          <w:tab w:val="right" w:leader="dot" w:pos="8296"/>
        </w:tabs>
        <w:rPr>
          <w:sz w:val="28"/>
          <w:szCs w:val="28"/>
        </w:rPr>
      </w:pPr>
      <w:r>
        <w:fldChar w:fldCharType="begin"/>
      </w:r>
      <w:r>
        <w:instrText xml:space="preserve"> HYPERLINK \l "_Toc76826109" </w:instrText>
      </w:r>
      <w:r>
        <w:fldChar w:fldCharType="separate"/>
      </w:r>
      <w:r>
        <w:rPr>
          <w:rStyle w:val="13"/>
          <w:rFonts w:hint="eastAsia" w:ascii="楷体_GB2312" w:hAnsi="仿宋" w:eastAsia="楷体_GB2312"/>
          <w:sz w:val="28"/>
          <w:szCs w:val="28"/>
        </w:rPr>
        <w:t>（三）发展目标</w:t>
      </w:r>
      <w:r>
        <w:rPr>
          <w:sz w:val="28"/>
          <w:szCs w:val="28"/>
        </w:rPr>
        <w:tab/>
      </w:r>
      <w:r>
        <w:rPr>
          <w:sz w:val="28"/>
          <w:szCs w:val="28"/>
        </w:rPr>
        <w:fldChar w:fldCharType="begin"/>
      </w:r>
      <w:r>
        <w:rPr>
          <w:sz w:val="28"/>
          <w:szCs w:val="28"/>
        </w:rPr>
        <w:instrText xml:space="preserve"> PAGEREF _Toc76826109 \h </w:instrText>
      </w:r>
      <w:r>
        <w:rPr>
          <w:sz w:val="28"/>
          <w:szCs w:val="28"/>
        </w:rPr>
        <w:fldChar w:fldCharType="separate"/>
      </w:r>
      <w:r>
        <w:rPr>
          <w:sz w:val="28"/>
          <w:szCs w:val="28"/>
        </w:rPr>
        <w:t>21</w:t>
      </w:r>
      <w:r>
        <w:rPr>
          <w:sz w:val="28"/>
          <w:szCs w:val="28"/>
        </w:rPr>
        <w:fldChar w:fldCharType="end"/>
      </w:r>
      <w:r>
        <w:rPr>
          <w:sz w:val="28"/>
          <w:szCs w:val="28"/>
        </w:rPr>
        <w:fldChar w:fldCharType="end"/>
      </w:r>
    </w:p>
    <w:p w14:paraId="7921431E">
      <w:pPr>
        <w:pStyle w:val="7"/>
        <w:tabs>
          <w:tab w:val="right" w:leader="dot" w:pos="8296"/>
        </w:tabs>
        <w:rPr>
          <w:sz w:val="28"/>
          <w:szCs w:val="28"/>
        </w:rPr>
      </w:pPr>
      <w:r>
        <w:fldChar w:fldCharType="begin"/>
      </w:r>
      <w:r>
        <w:instrText xml:space="preserve"> HYPERLINK \l "_Toc76826110" </w:instrText>
      </w:r>
      <w:r>
        <w:fldChar w:fldCharType="separate"/>
      </w:r>
      <w:r>
        <w:rPr>
          <w:rStyle w:val="13"/>
          <w:rFonts w:hint="eastAsia" w:ascii="黑体" w:hAnsi="黑体" w:eastAsia="黑体"/>
          <w:sz w:val="28"/>
          <w:szCs w:val="28"/>
        </w:rPr>
        <w:t>四、构建先进制造新体系</w:t>
      </w:r>
      <w:r>
        <w:rPr>
          <w:sz w:val="28"/>
          <w:szCs w:val="28"/>
        </w:rPr>
        <w:tab/>
      </w:r>
      <w:r>
        <w:rPr>
          <w:sz w:val="28"/>
          <w:szCs w:val="28"/>
        </w:rPr>
        <w:fldChar w:fldCharType="begin"/>
      </w:r>
      <w:r>
        <w:rPr>
          <w:sz w:val="28"/>
          <w:szCs w:val="28"/>
        </w:rPr>
        <w:instrText xml:space="preserve"> PAGEREF _Toc76826110 \h </w:instrText>
      </w:r>
      <w:r>
        <w:rPr>
          <w:sz w:val="28"/>
          <w:szCs w:val="28"/>
        </w:rPr>
        <w:fldChar w:fldCharType="separate"/>
      </w:r>
      <w:r>
        <w:rPr>
          <w:sz w:val="28"/>
          <w:szCs w:val="28"/>
        </w:rPr>
        <w:t>24</w:t>
      </w:r>
      <w:r>
        <w:rPr>
          <w:sz w:val="28"/>
          <w:szCs w:val="28"/>
        </w:rPr>
        <w:fldChar w:fldCharType="end"/>
      </w:r>
      <w:r>
        <w:rPr>
          <w:sz w:val="28"/>
          <w:szCs w:val="28"/>
        </w:rPr>
        <w:fldChar w:fldCharType="end"/>
      </w:r>
    </w:p>
    <w:p w14:paraId="1136F639">
      <w:pPr>
        <w:pStyle w:val="8"/>
        <w:tabs>
          <w:tab w:val="right" w:leader="dot" w:pos="8296"/>
        </w:tabs>
        <w:rPr>
          <w:sz w:val="28"/>
          <w:szCs w:val="28"/>
        </w:rPr>
      </w:pPr>
      <w:r>
        <w:fldChar w:fldCharType="begin"/>
      </w:r>
      <w:r>
        <w:instrText xml:space="preserve"> HYPERLINK \l "_Toc76826111" </w:instrText>
      </w:r>
      <w:r>
        <w:fldChar w:fldCharType="separate"/>
      </w:r>
      <w:r>
        <w:rPr>
          <w:rStyle w:val="13"/>
          <w:rFonts w:hint="eastAsia" w:ascii="楷体_GB2312" w:hAnsi="仿宋" w:eastAsia="楷体_GB2312"/>
          <w:sz w:val="28"/>
          <w:szCs w:val="28"/>
        </w:rPr>
        <w:t>（一）做强优势产业</w:t>
      </w:r>
      <w:r>
        <w:rPr>
          <w:sz w:val="28"/>
          <w:szCs w:val="28"/>
        </w:rPr>
        <w:tab/>
      </w:r>
      <w:r>
        <w:rPr>
          <w:sz w:val="28"/>
          <w:szCs w:val="28"/>
        </w:rPr>
        <w:fldChar w:fldCharType="begin"/>
      </w:r>
      <w:r>
        <w:rPr>
          <w:sz w:val="28"/>
          <w:szCs w:val="28"/>
        </w:rPr>
        <w:instrText xml:space="preserve"> PAGEREF _Toc76826111 \h </w:instrText>
      </w:r>
      <w:r>
        <w:rPr>
          <w:sz w:val="28"/>
          <w:szCs w:val="28"/>
        </w:rPr>
        <w:fldChar w:fldCharType="separate"/>
      </w:r>
      <w:r>
        <w:rPr>
          <w:sz w:val="28"/>
          <w:szCs w:val="28"/>
        </w:rPr>
        <w:t>24</w:t>
      </w:r>
      <w:r>
        <w:rPr>
          <w:sz w:val="28"/>
          <w:szCs w:val="28"/>
        </w:rPr>
        <w:fldChar w:fldCharType="end"/>
      </w:r>
      <w:r>
        <w:rPr>
          <w:sz w:val="28"/>
          <w:szCs w:val="28"/>
        </w:rPr>
        <w:fldChar w:fldCharType="end"/>
      </w:r>
    </w:p>
    <w:p w14:paraId="3030A9E2">
      <w:pPr>
        <w:pStyle w:val="5"/>
        <w:tabs>
          <w:tab w:val="right" w:leader="dot" w:pos="8296"/>
        </w:tabs>
        <w:rPr>
          <w:sz w:val="28"/>
          <w:szCs w:val="28"/>
        </w:rPr>
      </w:pPr>
      <w:r>
        <w:fldChar w:fldCharType="begin"/>
      </w:r>
      <w:r>
        <w:instrText xml:space="preserve"> HYPERLINK \l "_Toc76826112"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汽车制造</w:t>
      </w:r>
      <w:r>
        <w:rPr>
          <w:sz w:val="28"/>
          <w:szCs w:val="28"/>
        </w:rPr>
        <w:tab/>
      </w:r>
      <w:r>
        <w:rPr>
          <w:sz w:val="28"/>
          <w:szCs w:val="28"/>
        </w:rPr>
        <w:fldChar w:fldCharType="begin"/>
      </w:r>
      <w:r>
        <w:rPr>
          <w:sz w:val="28"/>
          <w:szCs w:val="28"/>
        </w:rPr>
        <w:instrText xml:space="preserve"> PAGEREF _Toc76826112 \h </w:instrText>
      </w:r>
      <w:r>
        <w:rPr>
          <w:sz w:val="28"/>
          <w:szCs w:val="28"/>
        </w:rPr>
        <w:fldChar w:fldCharType="separate"/>
      </w:r>
      <w:r>
        <w:rPr>
          <w:sz w:val="28"/>
          <w:szCs w:val="28"/>
        </w:rPr>
        <w:t>24</w:t>
      </w:r>
      <w:r>
        <w:rPr>
          <w:sz w:val="28"/>
          <w:szCs w:val="28"/>
        </w:rPr>
        <w:fldChar w:fldCharType="end"/>
      </w:r>
      <w:r>
        <w:rPr>
          <w:sz w:val="28"/>
          <w:szCs w:val="28"/>
        </w:rPr>
        <w:fldChar w:fldCharType="end"/>
      </w:r>
    </w:p>
    <w:p w14:paraId="4544FE52">
      <w:pPr>
        <w:pStyle w:val="5"/>
        <w:tabs>
          <w:tab w:val="right" w:leader="dot" w:pos="8296"/>
        </w:tabs>
        <w:rPr>
          <w:sz w:val="28"/>
          <w:szCs w:val="28"/>
        </w:rPr>
      </w:pPr>
      <w:r>
        <w:fldChar w:fldCharType="begin"/>
      </w:r>
      <w:r>
        <w:instrText xml:space="preserve"> HYPERLINK \l "_Toc76826113"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航空制造</w:t>
      </w:r>
      <w:r>
        <w:rPr>
          <w:sz w:val="28"/>
          <w:szCs w:val="28"/>
        </w:rPr>
        <w:tab/>
      </w:r>
      <w:r>
        <w:rPr>
          <w:sz w:val="28"/>
          <w:szCs w:val="28"/>
        </w:rPr>
        <w:fldChar w:fldCharType="begin"/>
      </w:r>
      <w:r>
        <w:rPr>
          <w:sz w:val="28"/>
          <w:szCs w:val="28"/>
        </w:rPr>
        <w:instrText xml:space="preserve"> PAGEREF _Toc76826113 \h </w:instrText>
      </w:r>
      <w:r>
        <w:rPr>
          <w:sz w:val="28"/>
          <w:szCs w:val="28"/>
        </w:rPr>
        <w:fldChar w:fldCharType="separate"/>
      </w:r>
      <w:r>
        <w:rPr>
          <w:sz w:val="28"/>
          <w:szCs w:val="28"/>
        </w:rPr>
        <w:t>25</w:t>
      </w:r>
      <w:r>
        <w:rPr>
          <w:sz w:val="28"/>
          <w:szCs w:val="28"/>
        </w:rPr>
        <w:fldChar w:fldCharType="end"/>
      </w:r>
      <w:r>
        <w:rPr>
          <w:sz w:val="28"/>
          <w:szCs w:val="28"/>
        </w:rPr>
        <w:fldChar w:fldCharType="end"/>
      </w:r>
    </w:p>
    <w:p w14:paraId="36C69F43">
      <w:pPr>
        <w:pStyle w:val="5"/>
        <w:tabs>
          <w:tab w:val="right" w:leader="dot" w:pos="8296"/>
        </w:tabs>
        <w:rPr>
          <w:sz w:val="28"/>
          <w:szCs w:val="28"/>
        </w:rPr>
      </w:pPr>
      <w:r>
        <w:fldChar w:fldCharType="begin"/>
      </w:r>
      <w:r>
        <w:instrText xml:space="preserve"> HYPERLINK \l "_Toc76826114"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轨道交通</w:t>
      </w:r>
      <w:r>
        <w:rPr>
          <w:sz w:val="28"/>
          <w:szCs w:val="28"/>
        </w:rPr>
        <w:tab/>
      </w:r>
      <w:r>
        <w:rPr>
          <w:sz w:val="28"/>
          <w:szCs w:val="28"/>
        </w:rPr>
        <w:fldChar w:fldCharType="begin"/>
      </w:r>
      <w:r>
        <w:rPr>
          <w:sz w:val="28"/>
          <w:szCs w:val="28"/>
        </w:rPr>
        <w:instrText xml:space="preserve"> PAGEREF _Toc76826114 \h </w:instrText>
      </w:r>
      <w:r>
        <w:rPr>
          <w:sz w:val="28"/>
          <w:szCs w:val="28"/>
        </w:rPr>
        <w:fldChar w:fldCharType="separate"/>
      </w:r>
      <w:r>
        <w:rPr>
          <w:sz w:val="28"/>
          <w:szCs w:val="28"/>
        </w:rPr>
        <w:t>25</w:t>
      </w:r>
      <w:r>
        <w:rPr>
          <w:sz w:val="28"/>
          <w:szCs w:val="28"/>
        </w:rPr>
        <w:fldChar w:fldCharType="end"/>
      </w:r>
      <w:r>
        <w:rPr>
          <w:sz w:val="28"/>
          <w:szCs w:val="28"/>
        </w:rPr>
        <w:fldChar w:fldCharType="end"/>
      </w:r>
    </w:p>
    <w:p w14:paraId="7078AA4B">
      <w:pPr>
        <w:pStyle w:val="5"/>
        <w:tabs>
          <w:tab w:val="right" w:leader="dot" w:pos="8296"/>
        </w:tabs>
        <w:rPr>
          <w:sz w:val="28"/>
          <w:szCs w:val="28"/>
        </w:rPr>
      </w:pPr>
      <w:r>
        <w:fldChar w:fldCharType="begin"/>
      </w:r>
      <w:r>
        <w:instrText xml:space="preserve"> HYPERLINK \l "_Toc76826115"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电子电器</w:t>
      </w:r>
      <w:r>
        <w:rPr>
          <w:sz w:val="28"/>
          <w:szCs w:val="28"/>
        </w:rPr>
        <w:tab/>
      </w:r>
      <w:r>
        <w:rPr>
          <w:sz w:val="28"/>
          <w:szCs w:val="28"/>
        </w:rPr>
        <w:fldChar w:fldCharType="begin"/>
      </w:r>
      <w:r>
        <w:rPr>
          <w:sz w:val="28"/>
          <w:szCs w:val="28"/>
        </w:rPr>
        <w:instrText xml:space="preserve"> PAGEREF _Toc76826115 \h </w:instrText>
      </w:r>
      <w:r>
        <w:rPr>
          <w:sz w:val="28"/>
          <w:szCs w:val="28"/>
        </w:rPr>
        <w:fldChar w:fldCharType="separate"/>
      </w:r>
      <w:r>
        <w:rPr>
          <w:sz w:val="28"/>
          <w:szCs w:val="28"/>
        </w:rPr>
        <w:t>26</w:t>
      </w:r>
      <w:r>
        <w:rPr>
          <w:sz w:val="28"/>
          <w:szCs w:val="28"/>
        </w:rPr>
        <w:fldChar w:fldCharType="end"/>
      </w:r>
      <w:r>
        <w:rPr>
          <w:sz w:val="28"/>
          <w:szCs w:val="28"/>
        </w:rPr>
        <w:fldChar w:fldCharType="end"/>
      </w:r>
    </w:p>
    <w:p w14:paraId="17AD0974">
      <w:pPr>
        <w:pStyle w:val="5"/>
        <w:tabs>
          <w:tab w:val="right" w:leader="dot" w:pos="8296"/>
        </w:tabs>
        <w:rPr>
          <w:sz w:val="28"/>
          <w:szCs w:val="28"/>
        </w:rPr>
      </w:pPr>
      <w:r>
        <w:fldChar w:fldCharType="begin"/>
      </w:r>
      <w:r>
        <w:instrText xml:space="preserve"> HYPERLINK \l "_Toc76826116" </w:instrText>
      </w:r>
      <w:r>
        <w:fldChar w:fldCharType="separate"/>
      </w:r>
      <w:r>
        <w:rPr>
          <w:rStyle w:val="13"/>
          <w:rFonts w:ascii="仿宋_GB2312" w:hAnsi="Times New Roman" w:eastAsia="仿宋_GB2312"/>
          <w:sz w:val="28"/>
          <w:szCs w:val="28"/>
        </w:rPr>
        <w:t>5.</w:t>
      </w:r>
      <w:r>
        <w:rPr>
          <w:rStyle w:val="13"/>
          <w:rFonts w:hint="eastAsia" w:ascii="仿宋_GB2312" w:hAnsi="Times New Roman" w:eastAsia="仿宋_GB2312"/>
          <w:sz w:val="28"/>
          <w:szCs w:val="28"/>
        </w:rPr>
        <w:t>绿色建筑</w:t>
      </w:r>
      <w:r>
        <w:rPr>
          <w:sz w:val="28"/>
          <w:szCs w:val="28"/>
        </w:rPr>
        <w:tab/>
      </w:r>
      <w:r>
        <w:rPr>
          <w:sz w:val="28"/>
          <w:szCs w:val="28"/>
        </w:rPr>
        <w:fldChar w:fldCharType="begin"/>
      </w:r>
      <w:r>
        <w:rPr>
          <w:sz w:val="28"/>
          <w:szCs w:val="28"/>
        </w:rPr>
        <w:instrText xml:space="preserve"> PAGEREF _Toc76826116 \h </w:instrText>
      </w:r>
      <w:r>
        <w:rPr>
          <w:sz w:val="28"/>
          <w:szCs w:val="28"/>
        </w:rPr>
        <w:fldChar w:fldCharType="separate"/>
      </w:r>
      <w:r>
        <w:rPr>
          <w:sz w:val="28"/>
          <w:szCs w:val="28"/>
        </w:rPr>
        <w:t>26</w:t>
      </w:r>
      <w:r>
        <w:rPr>
          <w:sz w:val="28"/>
          <w:szCs w:val="28"/>
        </w:rPr>
        <w:fldChar w:fldCharType="end"/>
      </w:r>
      <w:r>
        <w:rPr>
          <w:sz w:val="28"/>
          <w:szCs w:val="28"/>
        </w:rPr>
        <w:fldChar w:fldCharType="end"/>
      </w:r>
    </w:p>
    <w:p w14:paraId="18ECD4FC">
      <w:pPr>
        <w:pStyle w:val="8"/>
        <w:tabs>
          <w:tab w:val="right" w:leader="dot" w:pos="8296"/>
        </w:tabs>
        <w:rPr>
          <w:sz w:val="28"/>
          <w:szCs w:val="28"/>
        </w:rPr>
      </w:pPr>
      <w:r>
        <w:fldChar w:fldCharType="begin"/>
      </w:r>
      <w:r>
        <w:instrText xml:space="preserve"> HYPERLINK \l "_Toc76826117" </w:instrText>
      </w:r>
      <w:r>
        <w:fldChar w:fldCharType="separate"/>
      </w:r>
      <w:r>
        <w:rPr>
          <w:rStyle w:val="13"/>
          <w:rFonts w:hint="eastAsia" w:ascii="楷体_GB2312" w:hAnsi="仿宋" w:eastAsia="楷体_GB2312"/>
          <w:sz w:val="28"/>
          <w:szCs w:val="28"/>
        </w:rPr>
        <w:t>（二）做大战略性新兴产业</w:t>
      </w:r>
      <w:r>
        <w:rPr>
          <w:sz w:val="28"/>
          <w:szCs w:val="28"/>
        </w:rPr>
        <w:tab/>
      </w:r>
      <w:r>
        <w:rPr>
          <w:sz w:val="28"/>
          <w:szCs w:val="28"/>
        </w:rPr>
        <w:fldChar w:fldCharType="begin"/>
      </w:r>
      <w:r>
        <w:rPr>
          <w:sz w:val="28"/>
          <w:szCs w:val="28"/>
        </w:rPr>
        <w:instrText xml:space="preserve"> PAGEREF _Toc76826117 \h </w:instrText>
      </w:r>
      <w:r>
        <w:rPr>
          <w:sz w:val="28"/>
          <w:szCs w:val="28"/>
        </w:rPr>
        <w:fldChar w:fldCharType="separate"/>
      </w:r>
      <w:r>
        <w:rPr>
          <w:sz w:val="28"/>
          <w:szCs w:val="28"/>
        </w:rPr>
        <w:t>27</w:t>
      </w:r>
      <w:r>
        <w:rPr>
          <w:sz w:val="28"/>
          <w:szCs w:val="28"/>
        </w:rPr>
        <w:fldChar w:fldCharType="end"/>
      </w:r>
      <w:r>
        <w:rPr>
          <w:sz w:val="28"/>
          <w:szCs w:val="28"/>
        </w:rPr>
        <w:fldChar w:fldCharType="end"/>
      </w:r>
    </w:p>
    <w:p w14:paraId="1349BA3B">
      <w:pPr>
        <w:pStyle w:val="5"/>
        <w:tabs>
          <w:tab w:val="right" w:leader="dot" w:pos="8296"/>
        </w:tabs>
        <w:rPr>
          <w:sz w:val="28"/>
          <w:szCs w:val="28"/>
        </w:rPr>
      </w:pPr>
      <w:r>
        <w:fldChar w:fldCharType="begin"/>
      </w:r>
      <w:r>
        <w:instrText xml:space="preserve"> HYPERLINK \l "_Toc76826118"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新能源汽车</w:t>
      </w:r>
      <w:r>
        <w:rPr>
          <w:sz w:val="28"/>
          <w:szCs w:val="28"/>
        </w:rPr>
        <w:tab/>
      </w:r>
      <w:r>
        <w:rPr>
          <w:sz w:val="28"/>
          <w:szCs w:val="28"/>
        </w:rPr>
        <w:fldChar w:fldCharType="begin"/>
      </w:r>
      <w:r>
        <w:rPr>
          <w:sz w:val="28"/>
          <w:szCs w:val="28"/>
        </w:rPr>
        <w:instrText xml:space="preserve"> PAGEREF _Toc76826118 \h </w:instrText>
      </w:r>
      <w:r>
        <w:rPr>
          <w:sz w:val="28"/>
          <w:szCs w:val="28"/>
        </w:rPr>
        <w:fldChar w:fldCharType="separate"/>
      </w:r>
      <w:r>
        <w:rPr>
          <w:sz w:val="28"/>
          <w:szCs w:val="28"/>
        </w:rPr>
        <w:t>27</w:t>
      </w:r>
      <w:r>
        <w:rPr>
          <w:sz w:val="28"/>
          <w:szCs w:val="28"/>
        </w:rPr>
        <w:fldChar w:fldCharType="end"/>
      </w:r>
      <w:r>
        <w:rPr>
          <w:sz w:val="28"/>
          <w:szCs w:val="28"/>
        </w:rPr>
        <w:fldChar w:fldCharType="end"/>
      </w:r>
    </w:p>
    <w:p w14:paraId="268E1187">
      <w:pPr>
        <w:pStyle w:val="5"/>
        <w:tabs>
          <w:tab w:val="right" w:leader="dot" w:pos="8296"/>
        </w:tabs>
        <w:rPr>
          <w:sz w:val="28"/>
          <w:szCs w:val="28"/>
        </w:rPr>
      </w:pPr>
      <w:r>
        <w:fldChar w:fldCharType="begin"/>
      </w:r>
      <w:r>
        <w:instrText xml:space="preserve"> HYPERLINK \l "_Toc76826119"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智能装备和机器人</w:t>
      </w:r>
      <w:r>
        <w:rPr>
          <w:sz w:val="28"/>
          <w:szCs w:val="28"/>
        </w:rPr>
        <w:tab/>
      </w:r>
      <w:r>
        <w:rPr>
          <w:sz w:val="28"/>
          <w:szCs w:val="28"/>
        </w:rPr>
        <w:fldChar w:fldCharType="begin"/>
      </w:r>
      <w:r>
        <w:rPr>
          <w:sz w:val="28"/>
          <w:szCs w:val="28"/>
        </w:rPr>
        <w:instrText xml:space="preserve"> PAGEREF _Toc76826119 \h </w:instrText>
      </w:r>
      <w:r>
        <w:rPr>
          <w:sz w:val="28"/>
          <w:szCs w:val="28"/>
        </w:rPr>
        <w:fldChar w:fldCharType="separate"/>
      </w:r>
      <w:r>
        <w:rPr>
          <w:sz w:val="28"/>
          <w:szCs w:val="28"/>
        </w:rPr>
        <w:t>28</w:t>
      </w:r>
      <w:r>
        <w:rPr>
          <w:sz w:val="28"/>
          <w:szCs w:val="28"/>
        </w:rPr>
        <w:fldChar w:fldCharType="end"/>
      </w:r>
      <w:r>
        <w:rPr>
          <w:sz w:val="28"/>
          <w:szCs w:val="28"/>
        </w:rPr>
        <w:fldChar w:fldCharType="end"/>
      </w:r>
    </w:p>
    <w:p w14:paraId="4A05C024">
      <w:pPr>
        <w:pStyle w:val="5"/>
        <w:tabs>
          <w:tab w:val="right" w:leader="dot" w:pos="8296"/>
        </w:tabs>
        <w:rPr>
          <w:sz w:val="28"/>
          <w:szCs w:val="28"/>
        </w:rPr>
      </w:pPr>
      <w:r>
        <w:fldChar w:fldCharType="begin"/>
      </w:r>
      <w:r>
        <w:instrText xml:space="preserve"> HYPERLINK \l "_Toc76826120"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新材料</w:t>
      </w:r>
      <w:r>
        <w:rPr>
          <w:sz w:val="28"/>
          <w:szCs w:val="28"/>
        </w:rPr>
        <w:tab/>
      </w:r>
      <w:r>
        <w:rPr>
          <w:sz w:val="28"/>
          <w:szCs w:val="28"/>
        </w:rPr>
        <w:fldChar w:fldCharType="begin"/>
      </w:r>
      <w:r>
        <w:rPr>
          <w:sz w:val="28"/>
          <w:szCs w:val="28"/>
        </w:rPr>
        <w:instrText xml:space="preserve"> PAGEREF _Toc76826120 \h </w:instrText>
      </w:r>
      <w:r>
        <w:rPr>
          <w:sz w:val="28"/>
          <w:szCs w:val="28"/>
        </w:rPr>
        <w:fldChar w:fldCharType="separate"/>
      </w:r>
      <w:r>
        <w:rPr>
          <w:sz w:val="28"/>
          <w:szCs w:val="28"/>
        </w:rPr>
        <w:t>28</w:t>
      </w:r>
      <w:r>
        <w:rPr>
          <w:sz w:val="28"/>
          <w:szCs w:val="28"/>
        </w:rPr>
        <w:fldChar w:fldCharType="end"/>
      </w:r>
      <w:r>
        <w:rPr>
          <w:sz w:val="28"/>
          <w:szCs w:val="28"/>
        </w:rPr>
        <w:fldChar w:fldCharType="end"/>
      </w:r>
    </w:p>
    <w:p w14:paraId="64BD7A3C">
      <w:pPr>
        <w:pStyle w:val="5"/>
        <w:tabs>
          <w:tab w:val="right" w:leader="dot" w:pos="8296"/>
        </w:tabs>
        <w:rPr>
          <w:sz w:val="28"/>
          <w:szCs w:val="28"/>
        </w:rPr>
      </w:pPr>
      <w:r>
        <w:fldChar w:fldCharType="begin"/>
      </w:r>
      <w:r>
        <w:instrText xml:space="preserve"> HYPERLINK \l "_Toc76826121"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生物医药</w:t>
      </w:r>
      <w:r>
        <w:rPr>
          <w:sz w:val="28"/>
          <w:szCs w:val="28"/>
        </w:rPr>
        <w:tab/>
      </w:r>
      <w:r>
        <w:rPr>
          <w:sz w:val="28"/>
          <w:szCs w:val="28"/>
        </w:rPr>
        <w:fldChar w:fldCharType="begin"/>
      </w:r>
      <w:r>
        <w:rPr>
          <w:sz w:val="28"/>
          <w:szCs w:val="28"/>
        </w:rPr>
        <w:instrText xml:space="preserve"> PAGEREF _Toc76826121 \h </w:instrText>
      </w:r>
      <w:r>
        <w:rPr>
          <w:sz w:val="28"/>
          <w:szCs w:val="28"/>
        </w:rPr>
        <w:fldChar w:fldCharType="separate"/>
      </w:r>
      <w:r>
        <w:rPr>
          <w:sz w:val="28"/>
          <w:szCs w:val="28"/>
        </w:rPr>
        <w:t>29</w:t>
      </w:r>
      <w:r>
        <w:rPr>
          <w:sz w:val="28"/>
          <w:szCs w:val="28"/>
        </w:rPr>
        <w:fldChar w:fldCharType="end"/>
      </w:r>
      <w:r>
        <w:rPr>
          <w:sz w:val="28"/>
          <w:szCs w:val="28"/>
        </w:rPr>
        <w:fldChar w:fldCharType="end"/>
      </w:r>
    </w:p>
    <w:p w14:paraId="7BAB3DC2">
      <w:pPr>
        <w:pStyle w:val="8"/>
        <w:tabs>
          <w:tab w:val="right" w:leader="dot" w:pos="8296"/>
        </w:tabs>
        <w:rPr>
          <w:sz w:val="28"/>
          <w:szCs w:val="28"/>
        </w:rPr>
      </w:pPr>
      <w:r>
        <w:fldChar w:fldCharType="begin"/>
      </w:r>
      <w:r>
        <w:instrText xml:space="preserve"> HYPERLINK \l "_Toc76826122" </w:instrText>
      </w:r>
      <w:r>
        <w:fldChar w:fldCharType="separate"/>
      </w:r>
      <w:r>
        <w:rPr>
          <w:rStyle w:val="13"/>
          <w:rFonts w:hint="eastAsia" w:ascii="楷体_GB2312" w:hAnsi="仿宋" w:eastAsia="楷体_GB2312"/>
          <w:sz w:val="28"/>
          <w:szCs w:val="28"/>
        </w:rPr>
        <w:t>（三）提升都市型产业</w:t>
      </w:r>
      <w:r>
        <w:rPr>
          <w:sz w:val="28"/>
          <w:szCs w:val="28"/>
        </w:rPr>
        <w:tab/>
      </w:r>
      <w:r>
        <w:rPr>
          <w:sz w:val="28"/>
          <w:szCs w:val="28"/>
        </w:rPr>
        <w:fldChar w:fldCharType="begin"/>
      </w:r>
      <w:r>
        <w:rPr>
          <w:sz w:val="28"/>
          <w:szCs w:val="28"/>
        </w:rPr>
        <w:instrText xml:space="preserve"> PAGEREF _Toc76826122 \h </w:instrText>
      </w:r>
      <w:r>
        <w:rPr>
          <w:sz w:val="28"/>
          <w:szCs w:val="28"/>
        </w:rPr>
        <w:fldChar w:fldCharType="separate"/>
      </w:r>
      <w:r>
        <w:rPr>
          <w:sz w:val="28"/>
          <w:szCs w:val="28"/>
        </w:rPr>
        <w:t>30</w:t>
      </w:r>
      <w:r>
        <w:rPr>
          <w:sz w:val="28"/>
          <w:szCs w:val="28"/>
        </w:rPr>
        <w:fldChar w:fldCharType="end"/>
      </w:r>
      <w:r>
        <w:rPr>
          <w:sz w:val="28"/>
          <w:szCs w:val="28"/>
        </w:rPr>
        <w:fldChar w:fldCharType="end"/>
      </w:r>
    </w:p>
    <w:p w14:paraId="05D080FC">
      <w:pPr>
        <w:pStyle w:val="5"/>
        <w:tabs>
          <w:tab w:val="right" w:leader="dot" w:pos="8296"/>
        </w:tabs>
        <w:rPr>
          <w:sz w:val="28"/>
          <w:szCs w:val="28"/>
        </w:rPr>
      </w:pPr>
      <w:r>
        <w:fldChar w:fldCharType="begin"/>
      </w:r>
      <w:r>
        <w:instrText xml:space="preserve"> HYPERLINK \l "_Toc76826123"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皮革皮具</w:t>
      </w:r>
      <w:r>
        <w:rPr>
          <w:sz w:val="28"/>
          <w:szCs w:val="28"/>
        </w:rPr>
        <w:tab/>
      </w:r>
      <w:r>
        <w:rPr>
          <w:sz w:val="28"/>
          <w:szCs w:val="28"/>
        </w:rPr>
        <w:fldChar w:fldCharType="begin"/>
      </w:r>
      <w:r>
        <w:rPr>
          <w:sz w:val="28"/>
          <w:szCs w:val="28"/>
        </w:rPr>
        <w:instrText xml:space="preserve"> PAGEREF _Toc76826123 \h </w:instrText>
      </w:r>
      <w:r>
        <w:rPr>
          <w:sz w:val="28"/>
          <w:szCs w:val="28"/>
        </w:rPr>
        <w:fldChar w:fldCharType="separate"/>
      </w:r>
      <w:r>
        <w:rPr>
          <w:sz w:val="28"/>
          <w:szCs w:val="28"/>
        </w:rPr>
        <w:t>30</w:t>
      </w:r>
      <w:r>
        <w:rPr>
          <w:sz w:val="28"/>
          <w:szCs w:val="28"/>
        </w:rPr>
        <w:fldChar w:fldCharType="end"/>
      </w:r>
      <w:r>
        <w:rPr>
          <w:sz w:val="28"/>
          <w:szCs w:val="28"/>
        </w:rPr>
        <w:fldChar w:fldCharType="end"/>
      </w:r>
    </w:p>
    <w:p w14:paraId="7A0672DF">
      <w:pPr>
        <w:pStyle w:val="5"/>
        <w:tabs>
          <w:tab w:val="right" w:leader="dot" w:pos="8296"/>
        </w:tabs>
        <w:rPr>
          <w:sz w:val="28"/>
          <w:szCs w:val="28"/>
        </w:rPr>
      </w:pPr>
      <w:r>
        <w:fldChar w:fldCharType="begin"/>
      </w:r>
      <w:r>
        <w:instrText xml:space="preserve"> HYPERLINK \l "_Toc76826124"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纺织服装</w:t>
      </w:r>
      <w:r>
        <w:rPr>
          <w:sz w:val="28"/>
          <w:szCs w:val="28"/>
        </w:rPr>
        <w:tab/>
      </w:r>
      <w:r>
        <w:rPr>
          <w:sz w:val="28"/>
          <w:szCs w:val="28"/>
        </w:rPr>
        <w:fldChar w:fldCharType="begin"/>
      </w:r>
      <w:r>
        <w:rPr>
          <w:sz w:val="28"/>
          <w:szCs w:val="28"/>
        </w:rPr>
        <w:instrText xml:space="preserve"> PAGEREF _Toc76826124 \h </w:instrText>
      </w:r>
      <w:r>
        <w:rPr>
          <w:sz w:val="28"/>
          <w:szCs w:val="28"/>
        </w:rPr>
        <w:fldChar w:fldCharType="separate"/>
      </w:r>
      <w:r>
        <w:rPr>
          <w:sz w:val="28"/>
          <w:szCs w:val="28"/>
        </w:rPr>
        <w:t>30</w:t>
      </w:r>
      <w:r>
        <w:rPr>
          <w:sz w:val="28"/>
          <w:szCs w:val="28"/>
        </w:rPr>
        <w:fldChar w:fldCharType="end"/>
      </w:r>
      <w:r>
        <w:rPr>
          <w:sz w:val="28"/>
          <w:szCs w:val="28"/>
        </w:rPr>
        <w:fldChar w:fldCharType="end"/>
      </w:r>
    </w:p>
    <w:p w14:paraId="020ECF06">
      <w:pPr>
        <w:pStyle w:val="5"/>
        <w:tabs>
          <w:tab w:val="right" w:leader="dot" w:pos="8296"/>
        </w:tabs>
        <w:rPr>
          <w:sz w:val="28"/>
          <w:szCs w:val="28"/>
        </w:rPr>
      </w:pPr>
      <w:r>
        <w:fldChar w:fldCharType="begin"/>
      </w:r>
      <w:r>
        <w:instrText xml:space="preserve"> HYPERLINK \l "_Toc76826125"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珠宝产业</w:t>
      </w:r>
      <w:r>
        <w:rPr>
          <w:sz w:val="28"/>
          <w:szCs w:val="28"/>
        </w:rPr>
        <w:tab/>
      </w:r>
      <w:r>
        <w:rPr>
          <w:sz w:val="28"/>
          <w:szCs w:val="28"/>
        </w:rPr>
        <w:fldChar w:fldCharType="begin"/>
      </w:r>
      <w:r>
        <w:rPr>
          <w:sz w:val="28"/>
          <w:szCs w:val="28"/>
        </w:rPr>
        <w:instrText xml:space="preserve"> PAGEREF _Toc76826125 \h </w:instrText>
      </w:r>
      <w:r>
        <w:rPr>
          <w:sz w:val="28"/>
          <w:szCs w:val="28"/>
        </w:rPr>
        <w:fldChar w:fldCharType="separate"/>
      </w:r>
      <w:r>
        <w:rPr>
          <w:sz w:val="28"/>
          <w:szCs w:val="28"/>
        </w:rPr>
        <w:t>31</w:t>
      </w:r>
      <w:r>
        <w:rPr>
          <w:sz w:val="28"/>
          <w:szCs w:val="28"/>
        </w:rPr>
        <w:fldChar w:fldCharType="end"/>
      </w:r>
      <w:r>
        <w:rPr>
          <w:sz w:val="28"/>
          <w:szCs w:val="28"/>
        </w:rPr>
        <w:fldChar w:fldCharType="end"/>
      </w:r>
    </w:p>
    <w:p w14:paraId="7B2D261C">
      <w:pPr>
        <w:pStyle w:val="5"/>
        <w:tabs>
          <w:tab w:val="right" w:leader="dot" w:pos="8296"/>
        </w:tabs>
        <w:rPr>
          <w:sz w:val="28"/>
          <w:szCs w:val="28"/>
        </w:rPr>
      </w:pPr>
      <w:r>
        <w:fldChar w:fldCharType="begin"/>
      </w:r>
      <w:r>
        <w:instrText xml:space="preserve"> HYPERLINK \l "_Toc76826126"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日化用品</w:t>
      </w:r>
      <w:r>
        <w:rPr>
          <w:sz w:val="28"/>
          <w:szCs w:val="28"/>
        </w:rPr>
        <w:tab/>
      </w:r>
      <w:r>
        <w:rPr>
          <w:sz w:val="28"/>
          <w:szCs w:val="28"/>
        </w:rPr>
        <w:fldChar w:fldCharType="begin"/>
      </w:r>
      <w:r>
        <w:rPr>
          <w:sz w:val="28"/>
          <w:szCs w:val="28"/>
        </w:rPr>
        <w:instrText xml:space="preserve"> PAGEREF _Toc76826126 \h </w:instrText>
      </w:r>
      <w:r>
        <w:rPr>
          <w:sz w:val="28"/>
          <w:szCs w:val="28"/>
        </w:rPr>
        <w:fldChar w:fldCharType="separate"/>
      </w:r>
      <w:r>
        <w:rPr>
          <w:sz w:val="28"/>
          <w:szCs w:val="28"/>
        </w:rPr>
        <w:t>31</w:t>
      </w:r>
      <w:r>
        <w:rPr>
          <w:sz w:val="28"/>
          <w:szCs w:val="28"/>
        </w:rPr>
        <w:fldChar w:fldCharType="end"/>
      </w:r>
      <w:r>
        <w:rPr>
          <w:sz w:val="28"/>
          <w:szCs w:val="28"/>
        </w:rPr>
        <w:fldChar w:fldCharType="end"/>
      </w:r>
    </w:p>
    <w:p w14:paraId="63640C65">
      <w:pPr>
        <w:pStyle w:val="8"/>
        <w:tabs>
          <w:tab w:val="right" w:leader="dot" w:pos="8296"/>
        </w:tabs>
        <w:rPr>
          <w:sz w:val="28"/>
          <w:szCs w:val="28"/>
        </w:rPr>
      </w:pPr>
      <w:r>
        <w:fldChar w:fldCharType="begin"/>
      </w:r>
      <w:r>
        <w:instrText xml:space="preserve"> HYPERLINK \l "_Toc76826127" </w:instrText>
      </w:r>
      <w:r>
        <w:fldChar w:fldCharType="separate"/>
      </w:r>
      <w:r>
        <w:rPr>
          <w:rStyle w:val="13"/>
          <w:rFonts w:hint="eastAsia" w:ascii="楷体_GB2312" w:hAnsi="仿宋" w:eastAsia="楷体_GB2312"/>
          <w:sz w:val="28"/>
          <w:szCs w:val="28"/>
        </w:rPr>
        <w:t>（四）培育未来产业</w:t>
      </w:r>
      <w:r>
        <w:rPr>
          <w:sz w:val="28"/>
          <w:szCs w:val="28"/>
        </w:rPr>
        <w:tab/>
      </w:r>
      <w:r>
        <w:rPr>
          <w:sz w:val="28"/>
          <w:szCs w:val="28"/>
        </w:rPr>
        <w:fldChar w:fldCharType="begin"/>
      </w:r>
      <w:r>
        <w:rPr>
          <w:sz w:val="28"/>
          <w:szCs w:val="28"/>
        </w:rPr>
        <w:instrText xml:space="preserve"> PAGEREF _Toc76826127 \h </w:instrText>
      </w:r>
      <w:r>
        <w:rPr>
          <w:sz w:val="28"/>
          <w:szCs w:val="28"/>
        </w:rPr>
        <w:fldChar w:fldCharType="separate"/>
      </w:r>
      <w:r>
        <w:rPr>
          <w:sz w:val="28"/>
          <w:szCs w:val="28"/>
        </w:rPr>
        <w:t>32</w:t>
      </w:r>
      <w:r>
        <w:rPr>
          <w:sz w:val="28"/>
          <w:szCs w:val="28"/>
        </w:rPr>
        <w:fldChar w:fldCharType="end"/>
      </w:r>
      <w:r>
        <w:rPr>
          <w:sz w:val="28"/>
          <w:szCs w:val="28"/>
        </w:rPr>
        <w:fldChar w:fldCharType="end"/>
      </w:r>
    </w:p>
    <w:p w14:paraId="72BF7007">
      <w:pPr>
        <w:pStyle w:val="5"/>
        <w:tabs>
          <w:tab w:val="right" w:leader="dot" w:pos="8296"/>
        </w:tabs>
        <w:rPr>
          <w:sz w:val="28"/>
          <w:szCs w:val="28"/>
        </w:rPr>
      </w:pPr>
      <w:r>
        <w:fldChar w:fldCharType="begin"/>
      </w:r>
      <w:r>
        <w:instrText xml:space="preserve"> HYPERLINK \l "_Toc76826128"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集成电路</w:t>
      </w:r>
      <w:r>
        <w:rPr>
          <w:sz w:val="28"/>
          <w:szCs w:val="28"/>
        </w:rPr>
        <w:tab/>
      </w:r>
      <w:r>
        <w:rPr>
          <w:sz w:val="28"/>
          <w:szCs w:val="28"/>
        </w:rPr>
        <w:fldChar w:fldCharType="begin"/>
      </w:r>
      <w:r>
        <w:rPr>
          <w:sz w:val="28"/>
          <w:szCs w:val="28"/>
        </w:rPr>
        <w:instrText xml:space="preserve"> PAGEREF _Toc76826128 \h </w:instrText>
      </w:r>
      <w:r>
        <w:rPr>
          <w:sz w:val="28"/>
          <w:szCs w:val="28"/>
        </w:rPr>
        <w:fldChar w:fldCharType="separate"/>
      </w:r>
      <w:r>
        <w:rPr>
          <w:sz w:val="28"/>
          <w:szCs w:val="28"/>
        </w:rPr>
        <w:t>32</w:t>
      </w:r>
      <w:r>
        <w:rPr>
          <w:sz w:val="28"/>
          <w:szCs w:val="28"/>
        </w:rPr>
        <w:fldChar w:fldCharType="end"/>
      </w:r>
      <w:r>
        <w:rPr>
          <w:sz w:val="28"/>
          <w:szCs w:val="28"/>
        </w:rPr>
        <w:fldChar w:fldCharType="end"/>
      </w:r>
    </w:p>
    <w:p w14:paraId="4732EFBA">
      <w:pPr>
        <w:pStyle w:val="5"/>
        <w:tabs>
          <w:tab w:val="right" w:leader="dot" w:pos="8296"/>
        </w:tabs>
        <w:rPr>
          <w:sz w:val="28"/>
          <w:szCs w:val="28"/>
        </w:rPr>
      </w:pPr>
      <w:r>
        <w:fldChar w:fldCharType="begin"/>
      </w:r>
      <w:r>
        <w:instrText xml:space="preserve"> HYPERLINK \l "_Toc76826129"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柔性电子</w:t>
      </w:r>
      <w:r>
        <w:rPr>
          <w:sz w:val="28"/>
          <w:szCs w:val="28"/>
        </w:rPr>
        <w:tab/>
      </w:r>
      <w:r>
        <w:rPr>
          <w:sz w:val="28"/>
          <w:szCs w:val="28"/>
        </w:rPr>
        <w:fldChar w:fldCharType="begin"/>
      </w:r>
      <w:r>
        <w:rPr>
          <w:sz w:val="28"/>
          <w:szCs w:val="28"/>
        </w:rPr>
        <w:instrText xml:space="preserve"> PAGEREF _Toc76826129 \h </w:instrText>
      </w:r>
      <w:r>
        <w:rPr>
          <w:sz w:val="28"/>
          <w:szCs w:val="28"/>
        </w:rPr>
        <w:fldChar w:fldCharType="separate"/>
      </w:r>
      <w:r>
        <w:rPr>
          <w:sz w:val="28"/>
          <w:szCs w:val="28"/>
        </w:rPr>
        <w:t>33</w:t>
      </w:r>
      <w:r>
        <w:rPr>
          <w:sz w:val="28"/>
          <w:szCs w:val="28"/>
        </w:rPr>
        <w:fldChar w:fldCharType="end"/>
      </w:r>
      <w:r>
        <w:rPr>
          <w:sz w:val="28"/>
          <w:szCs w:val="28"/>
        </w:rPr>
        <w:fldChar w:fldCharType="end"/>
      </w:r>
    </w:p>
    <w:p w14:paraId="385DD55C">
      <w:pPr>
        <w:pStyle w:val="7"/>
        <w:tabs>
          <w:tab w:val="right" w:leader="dot" w:pos="8296"/>
        </w:tabs>
        <w:rPr>
          <w:sz w:val="28"/>
          <w:szCs w:val="28"/>
        </w:rPr>
      </w:pPr>
      <w:r>
        <w:fldChar w:fldCharType="begin"/>
      </w:r>
      <w:r>
        <w:instrText xml:space="preserve"> HYPERLINK \l "_Toc76826130" </w:instrText>
      </w:r>
      <w:r>
        <w:fldChar w:fldCharType="separate"/>
      </w:r>
      <w:r>
        <w:rPr>
          <w:rStyle w:val="13"/>
          <w:rFonts w:hint="eastAsia" w:ascii="黑体" w:hAnsi="黑体" w:eastAsia="黑体"/>
          <w:sz w:val="28"/>
          <w:szCs w:val="28"/>
        </w:rPr>
        <w:t>五、推动人工智能和数字经济高质量发展</w:t>
      </w:r>
      <w:r>
        <w:rPr>
          <w:sz w:val="28"/>
          <w:szCs w:val="28"/>
        </w:rPr>
        <w:tab/>
      </w:r>
      <w:r>
        <w:rPr>
          <w:sz w:val="28"/>
          <w:szCs w:val="28"/>
        </w:rPr>
        <w:fldChar w:fldCharType="begin"/>
      </w:r>
      <w:r>
        <w:rPr>
          <w:sz w:val="28"/>
          <w:szCs w:val="28"/>
        </w:rPr>
        <w:instrText xml:space="preserve"> PAGEREF _Toc76826130 \h </w:instrText>
      </w:r>
      <w:r>
        <w:rPr>
          <w:sz w:val="28"/>
          <w:szCs w:val="28"/>
        </w:rPr>
        <w:fldChar w:fldCharType="separate"/>
      </w:r>
      <w:r>
        <w:rPr>
          <w:sz w:val="28"/>
          <w:szCs w:val="28"/>
        </w:rPr>
        <w:t>34</w:t>
      </w:r>
      <w:r>
        <w:rPr>
          <w:sz w:val="28"/>
          <w:szCs w:val="28"/>
        </w:rPr>
        <w:fldChar w:fldCharType="end"/>
      </w:r>
      <w:r>
        <w:rPr>
          <w:sz w:val="28"/>
          <w:szCs w:val="28"/>
        </w:rPr>
        <w:fldChar w:fldCharType="end"/>
      </w:r>
    </w:p>
    <w:p w14:paraId="3FE9A3BA">
      <w:pPr>
        <w:pStyle w:val="8"/>
        <w:tabs>
          <w:tab w:val="right" w:leader="dot" w:pos="8296"/>
        </w:tabs>
        <w:rPr>
          <w:sz w:val="28"/>
          <w:szCs w:val="28"/>
        </w:rPr>
      </w:pPr>
      <w:r>
        <w:fldChar w:fldCharType="begin"/>
      </w:r>
      <w:r>
        <w:instrText xml:space="preserve"> HYPERLINK \l "_Toc76826131" </w:instrText>
      </w:r>
      <w:r>
        <w:fldChar w:fldCharType="separate"/>
      </w:r>
      <w:r>
        <w:rPr>
          <w:rStyle w:val="13"/>
          <w:rFonts w:hint="eastAsia" w:ascii="楷体_GB2312" w:hAnsi="仿宋" w:eastAsia="楷体_GB2312"/>
          <w:sz w:val="28"/>
          <w:szCs w:val="28"/>
        </w:rPr>
        <w:t>（一）构建数字经济基础设施体系</w:t>
      </w:r>
      <w:r>
        <w:rPr>
          <w:sz w:val="28"/>
          <w:szCs w:val="28"/>
        </w:rPr>
        <w:tab/>
      </w:r>
      <w:r>
        <w:rPr>
          <w:sz w:val="28"/>
          <w:szCs w:val="28"/>
        </w:rPr>
        <w:fldChar w:fldCharType="begin"/>
      </w:r>
      <w:r>
        <w:rPr>
          <w:sz w:val="28"/>
          <w:szCs w:val="28"/>
        </w:rPr>
        <w:instrText xml:space="preserve"> PAGEREF _Toc76826131 \h </w:instrText>
      </w:r>
      <w:r>
        <w:rPr>
          <w:sz w:val="28"/>
          <w:szCs w:val="28"/>
        </w:rPr>
        <w:fldChar w:fldCharType="separate"/>
      </w:r>
      <w:r>
        <w:rPr>
          <w:sz w:val="28"/>
          <w:szCs w:val="28"/>
        </w:rPr>
        <w:t>34</w:t>
      </w:r>
      <w:r>
        <w:rPr>
          <w:sz w:val="28"/>
          <w:szCs w:val="28"/>
        </w:rPr>
        <w:fldChar w:fldCharType="end"/>
      </w:r>
      <w:r>
        <w:rPr>
          <w:sz w:val="28"/>
          <w:szCs w:val="28"/>
        </w:rPr>
        <w:fldChar w:fldCharType="end"/>
      </w:r>
    </w:p>
    <w:p w14:paraId="16E8B0CA">
      <w:pPr>
        <w:pStyle w:val="5"/>
        <w:tabs>
          <w:tab w:val="right" w:leader="dot" w:pos="8296"/>
        </w:tabs>
        <w:rPr>
          <w:sz w:val="28"/>
          <w:szCs w:val="28"/>
        </w:rPr>
      </w:pPr>
      <w:r>
        <w:fldChar w:fldCharType="begin"/>
      </w:r>
      <w:r>
        <w:instrText xml:space="preserve"> HYPERLINK \l "_Toc76826132"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大力推进新基建建设</w:t>
      </w:r>
      <w:r>
        <w:rPr>
          <w:sz w:val="28"/>
          <w:szCs w:val="28"/>
        </w:rPr>
        <w:tab/>
      </w:r>
      <w:r>
        <w:rPr>
          <w:sz w:val="28"/>
          <w:szCs w:val="28"/>
        </w:rPr>
        <w:fldChar w:fldCharType="begin"/>
      </w:r>
      <w:r>
        <w:rPr>
          <w:sz w:val="28"/>
          <w:szCs w:val="28"/>
        </w:rPr>
        <w:instrText xml:space="preserve"> PAGEREF _Toc76826132 \h </w:instrText>
      </w:r>
      <w:r>
        <w:rPr>
          <w:sz w:val="28"/>
          <w:szCs w:val="28"/>
        </w:rPr>
        <w:fldChar w:fldCharType="separate"/>
      </w:r>
      <w:r>
        <w:rPr>
          <w:sz w:val="28"/>
          <w:szCs w:val="28"/>
        </w:rPr>
        <w:t>34</w:t>
      </w:r>
      <w:r>
        <w:rPr>
          <w:sz w:val="28"/>
          <w:szCs w:val="28"/>
        </w:rPr>
        <w:fldChar w:fldCharType="end"/>
      </w:r>
      <w:r>
        <w:rPr>
          <w:sz w:val="28"/>
          <w:szCs w:val="28"/>
        </w:rPr>
        <w:fldChar w:fldCharType="end"/>
      </w:r>
    </w:p>
    <w:p w14:paraId="506E6627">
      <w:pPr>
        <w:pStyle w:val="5"/>
        <w:tabs>
          <w:tab w:val="right" w:leader="dot" w:pos="8296"/>
        </w:tabs>
        <w:rPr>
          <w:sz w:val="28"/>
          <w:szCs w:val="28"/>
        </w:rPr>
      </w:pPr>
      <w:r>
        <w:fldChar w:fldCharType="begin"/>
      </w:r>
      <w:r>
        <w:instrText xml:space="preserve"> HYPERLINK \l "_Toc76826133"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建设绿色数据中心</w:t>
      </w:r>
      <w:r>
        <w:rPr>
          <w:sz w:val="28"/>
          <w:szCs w:val="28"/>
        </w:rPr>
        <w:tab/>
      </w:r>
      <w:r>
        <w:rPr>
          <w:sz w:val="28"/>
          <w:szCs w:val="28"/>
        </w:rPr>
        <w:fldChar w:fldCharType="begin"/>
      </w:r>
      <w:r>
        <w:rPr>
          <w:sz w:val="28"/>
          <w:szCs w:val="28"/>
        </w:rPr>
        <w:instrText xml:space="preserve"> PAGEREF _Toc76826133 \h </w:instrText>
      </w:r>
      <w:r>
        <w:rPr>
          <w:sz w:val="28"/>
          <w:szCs w:val="28"/>
        </w:rPr>
        <w:fldChar w:fldCharType="separate"/>
      </w:r>
      <w:r>
        <w:rPr>
          <w:sz w:val="28"/>
          <w:szCs w:val="28"/>
        </w:rPr>
        <w:t>35</w:t>
      </w:r>
      <w:r>
        <w:rPr>
          <w:sz w:val="28"/>
          <w:szCs w:val="28"/>
        </w:rPr>
        <w:fldChar w:fldCharType="end"/>
      </w:r>
      <w:r>
        <w:rPr>
          <w:sz w:val="28"/>
          <w:szCs w:val="28"/>
        </w:rPr>
        <w:fldChar w:fldCharType="end"/>
      </w:r>
    </w:p>
    <w:p w14:paraId="7842D9F5">
      <w:pPr>
        <w:pStyle w:val="5"/>
        <w:tabs>
          <w:tab w:val="right" w:leader="dot" w:pos="8296"/>
        </w:tabs>
        <w:rPr>
          <w:sz w:val="28"/>
          <w:szCs w:val="28"/>
        </w:rPr>
      </w:pPr>
      <w:r>
        <w:fldChar w:fldCharType="begin"/>
      </w:r>
      <w:r>
        <w:instrText xml:space="preserve"> HYPERLINK \l "_Toc76826134"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积极布局数字经济新业态试验设施</w:t>
      </w:r>
      <w:r>
        <w:rPr>
          <w:sz w:val="28"/>
          <w:szCs w:val="28"/>
        </w:rPr>
        <w:tab/>
      </w:r>
      <w:r>
        <w:rPr>
          <w:sz w:val="28"/>
          <w:szCs w:val="28"/>
        </w:rPr>
        <w:fldChar w:fldCharType="begin"/>
      </w:r>
      <w:r>
        <w:rPr>
          <w:sz w:val="28"/>
          <w:szCs w:val="28"/>
        </w:rPr>
        <w:instrText xml:space="preserve"> PAGEREF _Toc76826134 \h </w:instrText>
      </w:r>
      <w:r>
        <w:rPr>
          <w:sz w:val="28"/>
          <w:szCs w:val="28"/>
        </w:rPr>
        <w:fldChar w:fldCharType="separate"/>
      </w:r>
      <w:r>
        <w:rPr>
          <w:sz w:val="28"/>
          <w:szCs w:val="28"/>
        </w:rPr>
        <w:t>35</w:t>
      </w:r>
      <w:r>
        <w:rPr>
          <w:sz w:val="28"/>
          <w:szCs w:val="28"/>
        </w:rPr>
        <w:fldChar w:fldCharType="end"/>
      </w:r>
      <w:r>
        <w:rPr>
          <w:sz w:val="28"/>
          <w:szCs w:val="28"/>
        </w:rPr>
        <w:fldChar w:fldCharType="end"/>
      </w:r>
    </w:p>
    <w:p w14:paraId="23CCE12A">
      <w:pPr>
        <w:pStyle w:val="8"/>
        <w:tabs>
          <w:tab w:val="right" w:leader="dot" w:pos="8296"/>
        </w:tabs>
        <w:rPr>
          <w:sz w:val="28"/>
          <w:szCs w:val="28"/>
        </w:rPr>
      </w:pPr>
      <w:r>
        <w:fldChar w:fldCharType="begin"/>
      </w:r>
      <w:r>
        <w:instrText xml:space="preserve"> HYPERLINK \l "_Toc76826135" </w:instrText>
      </w:r>
      <w:r>
        <w:fldChar w:fldCharType="separate"/>
      </w:r>
      <w:r>
        <w:rPr>
          <w:rStyle w:val="13"/>
          <w:rFonts w:hint="eastAsia" w:ascii="楷体_GB2312" w:hAnsi="仿宋" w:eastAsia="楷体_GB2312"/>
          <w:sz w:val="28"/>
          <w:szCs w:val="28"/>
        </w:rPr>
        <w:t>（二）培育发展核心产业</w:t>
      </w:r>
      <w:r>
        <w:rPr>
          <w:sz w:val="28"/>
          <w:szCs w:val="28"/>
        </w:rPr>
        <w:tab/>
      </w:r>
      <w:r>
        <w:rPr>
          <w:sz w:val="28"/>
          <w:szCs w:val="28"/>
        </w:rPr>
        <w:fldChar w:fldCharType="begin"/>
      </w:r>
      <w:r>
        <w:rPr>
          <w:sz w:val="28"/>
          <w:szCs w:val="28"/>
        </w:rPr>
        <w:instrText xml:space="preserve"> PAGEREF _Toc76826135 \h </w:instrText>
      </w:r>
      <w:r>
        <w:rPr>
          <w:sz w:val="28"/>
          <w:szCs w:val="28"/>
        </w:rPr>
        <w:fldChar w:fldCharType="separate"/>
      </w:r>
      <w:r>
        <w:rPr>
          <w:sz w:val="28"/>
          <w:szCs w:val="28"/>
        </w:rPr>
        <w:t>36</w:t>
      </w:r>
      <w:r>
        <w:rPr>
          <w:sz w:val="28"/>
          <w:szCs w:val="28"/>
        </w:rPr>
        <w:fldChar w:fldCharType="end"/>
      </w:r>
      <w:r>
        <w:rPr>
          <w:sz w:val="28"/>
          <w:szCs w:val="28"/>
        </w:rPr>
        <w:fldChar w:fldCharType="end"/>
      </w:r>
    </w:p>
    <w:p w14:paraId="1A8B4B90">
      <w:pPr>
        <w:pStyle w:val="5"/>
        <w:tabs>
          <w:tab w:val="right" w:leader="dot" w:pos="8296"/>
        </w:tabs>
        <w:rPr>
          <w:sz w:val="28"/>
          <w:szCs w:val="28"/>
        </w:rPr>
      </w:pPr>
      <w:r>
        <w:fldChar w:fldCharType="begin"/>
      </w:r>
      <w:r>
        <w:instrText xml:space="preserve"> HYPERLINK \l "_Toc76826136"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人工智能</w:t>
      </w:r>
      <w:r>
        <w:rPr>
          <w:sz w:val="28"/>
          <w:szCs w:val="28"/>
        </w:rPr>
        <w:tab/>
      </w:r>
      <w:r>
        <w:rPr>
          <w:sz w:val="28"/>
          <w:szCs w:val="28"/>
        </w:rPr>
        <w:fldChar w:fldCharType="begin"/>
      </w:r>
      <w:r>
        <w:rPr>
          <w:sz w:val="28"/>
          <w:szCs w:val="28"/>
        </w:rPr>
        <w:instrText xml:space="preserve"> PAGEREF _Toc76826136 \h </w:instrText>
      </w:r>
      <w:r>
        <w:rPr>
          <w:sz w:val="28"/>
          <w:szCs w:val="28"/>
        </w:rPr>
        <w:fldChar w:fldCharType="separate"/>
      </w:r>
      <w:r>
        <w:rPr>
          <w:sz w:val="28"/>
          <w:szCs w:val="28"/>
        </w:rPr>
        <w:t>36</w:t>
      </w:r>
      <w:r>
        <w:rPr>
          <w:sz w:val="28"/>
          <w:szCs w:val="28"/>
        </w:rPr>
        <w:fldChar w:fldCharType="end"/>
      </w:r>
      <w:r>
        <w:rPr>
          <w:sz w:val="28"/>
          <w:szCs w:val="28"/>
        </w:rPr>
        <w:fldChar w:fldCharType="end"/>
      </w:r>
    </w:p>
    <w:p w14:paraId="1EFBE42C">
      <w:pPr>
        <w:pStyle w:val="5"/>
        <w:tabs>
          <w:tab w:val="right" w:leader="dot" w:pos="8296"/>
        </w:tabs>
        <w:rPr>
          <w:sz w:val="28"/>
          <w:szCs w:val="28"/>
        </w:rPr>
      </w:pPr>
      <w:r>
        <w:fldChar w:fldCharType="begin"/>
      </w:r>
      <w:r>
        <w:instrText xml:space="preserve"> HYPERLINK \l "_Toc76826137"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智能网联汽车</w:t>
      </w:r>
      <w:r>
        <w:rPr>
          <w:sz w:val="28"/>
          <w:szCs w:val="28"/>
        </w:rPr>
        <w:tab/>
      </w:r>
      <w:r>
        <w:rPr>
          <w:sz w:val="28"/>
          <w:szCs w:val="28"/>
        </w:rPr>
        <w:fldChar w:fldCharType="begin"/>
      </w:r>
      <w:r>
        <w:rPr>
          <w:sz w:val="28"/>
          <w:szCs w:val="28"/>
        </w:rPr>
        <w:instrText xml:space="preserve"> PAGEREF _Toc76826137 \h </w:instrText>
      </w:r>
      <w:r>
        <w:rPr>
          <w:sz w:val="28"/>
          <w:szCs w:val="28"/>
        </w:rPr>
        <w:fldChar w:fldCharType="separate"/>
      </w:r>
      <w:r>
        <w:rPr>
          <w:sz w:val="28"/>
          <w:szCs w:val="28"/>
        </w:rPr>
        <w:t>37</w:t>
      </w:r>
      <w:r>
        <w:rPr>
          <w:sz w:val="28"/>
          <w:szCs w:val="28"/>
        </w:rPr>
        <w:fldChar w:fldCharType="end"/>
      </w:r>
      <w:r>
        <w:rPr>
          <w:sz w:val="28"/>
          <w:szCs w:val="28"/>
        </w:rPr>
        <w:fldChar w:fldCharType="end"/>
      </w:r>
    </w:p>
    <w:p w14:paraId="4D862597">
      <w:pPr>
        <w:pStyle w:val="5"/>
        <w:tabs>
          <w:tab w:val="right" w:leader="dot" w:pos="8296"/>
        </w:tabs>
        <w:rPr>
          <w:sz w:val="28"/>
          <w:szCs w:val="28"/>
        </w:rPr>
      </w:pPr>
      <w:r>
        <w:fldChar w:fldCharType="begin"/>
      </w:r>
      <w:r>
        <w:instrText xml:space="preserve"> HYPERLINK \l "_Toc76826138"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智能电子</w:t>
      </w:r>
      <w:r>
        <w:rPr>
          <w:sz w:val="28"/>
          <w:szCs w:val="28"/>
        </w:rPr>
        <w:tab/>
      </w:r>
      <w:r>
        <w:rPr>
          <w:sz w:val="28"/>
          <w:szCs w:val="28"/>
        </w:rPr>
        <w:fldChar w:fldCharType="begin"/>
      </w:r>
      <w:r>
        <w:rPr>
          <w:sz w:val="28"/>
          <w:szCs w:val="28"/>
        </w:rPr>
        <w:instrText xml:space="preserve"> PAGEREF _Toc76826138 \h </w:instrText>
      </w:r>
      <w:r>
        <w:rPr>
          <w:sz w:val="28"/>
          <w:szCs w:val="28"/>
        </w:rPr>
        <w:fldChar w:fldCharType="separate"/>
      </w:r>
      <w:r>
        <w:rPr>
          <w:sz w:val="28"/>
          <w:szCs w:val="28"/>
        </w:rPr>
        <w:t>37</w:t>
      </w:r>
      <w:r>
        <w:rPr>
          <w:sz w:val="28"/>
          <w:szCs w:val="28"/>
        </w:rPr>
        <w:fldChar w:fldCharType="end"/>
      </w:r>
      <w:r>
        <w:rPr>
          <w:sz w:val="28"/>
          <w:szCs w:val="28"/>
        </w:rPr>
        <w:fldChar w:fldCharType="end"/>
      </w:r>
    </w:p>
    <w:p w14:paraId="131FB683">
      <w:pPr>
        <w:pStyle w:val="5"/>
        <w:tabs>
          <w:tab w:val="right" w:leader="dot" w:pos="8296"/>
        </w:tabs>
        <w:rPr>
          <w:sz w:val="28"/>
          <w:szCs w:val="28"/>
        </w:rPr>
      </w:pPr>
      <w:r>
        <w:fldChar w:fldCharType="begin"/>
      </w:r>
      <w:r>
        <w:instrText xml:space="preserve"> HYPERLINK \l "_Toc76826139"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新型显示</w:t>
      </w:r>
      <w:r>
        <w:rPr>
          <w:sz w:val="28"/>
          <w:szCs w:val="28"/>
        </w:rPr>
        <w:tab/>
      </w:r>
      <w:r>
        <w:rPr>
          <w:sz w:val="28"/>
          <w:szCs w:val="28"/>
        </w:rPr>
        <w:fldChar w:fldCharType="begin"/>
      </w:r>
      <w:r>
        <w:rPr>
          <w:sz w:val="28"/>
          <w:szCs w:val="28"/>
        </w:rPr>
        <w:instrText xml:space="preserve"> PAGEREF _Toc76826139 \h </w:instrText>
      </w:r>
      <w:r>
        <w:rPr>
          <w:sz w:val="28"/>
          <w:szCs w:val="28"/>
        </w:rPr>
        <w:fldChar w:fldCharType="separate"/>
      </w:r>
      <w:r>
        <w:rPr>
          <w:sz w:val="28"/>
          <w:szCs w:val="28"/>
        </w:rPr>
        <w:t>38</w:t>
      </w:r>
      <w:r>
        <w:rPr>
          <w:sz w:val="28"/>
          <w:szCs w:val="28"/>
        </w:rPr>
        <w:fldChar w:fldCharType="end"/>
      </w:r>
      <w:r>
        <w:rPr>
          <w:sz w:val="28"/>
          <w:szCs w:val="28"/>
        </w:rPr>
        <w:fldChar w:fldCharType="end"/>
      </w:r>
    </w:p>
    <w:p w14:paraId="1D1EDC1B">
      <w:pPr>
        <w:pStyle w:val="5"/>
        <w:tabs>
          <w:tab w:val="right" w:leader="dot" w:pos="8296"/>
        </w:tabs>
        <w:rPr>
          <w:sz w:val="28"/>
          <w:szCs w:val="28"/>
        </w:rPr>
      </w:pPr>
      <w:r>
        <w:fldChar w:fldCharType="begin"/>
      </w:r>
      <w:r>
        <w:instrText xml:space="preserve"> HYPERLINK \l "_Toc76826140" </w:instrText>
      </w:r>
      <w:r>
        <w:fldChar w:fldCharType="separate"/>
      </w:r>
      <w:r>
        <w:rPr>
          <w:rStyle w:val="13"/>
          <w:rFonts w:ascii="仿宋_GB2312" w:hAnsi="Times New Roman" w:eastAsia="仿宋_GB2312"/>
          <w:sz w:val="28"/>
          <w:szCs w:val="28"/>
        </w:rPr>
        <w:t>5.</w:t>
      </w:r>
      <w:r>
        <w:rPr>
          <w:rStyle w:val="13"/>
          <w:rFonts w:hint="eastAsia" w:ascii="仿宋_GB2312" w:hAnsi="Times New Roman" w:eastAsia="仿宋_GB2312"/>
          <w:sz w:val="28"/>
          <w:szCs w:val="28"/>
        </w:rPr>
        <w:t>区块链</w:t>
      </w:r>
      <w:r>
        <w:rPr>
          <w:sz w:val="28"/>
          <w:szCs w:val="28"/>
        </w:rPr>
        <w:tab/>
      </w:r>
      <w:r>
        <w:rPr>
          <w:sz w:val="28"/>
          <w:szCs w:val="28"/>
        </w:rPr>
        <w:fldChar w:fldCharType="begin"/>
      </w:r>
      <w:r>
        <w:rPr>
          <w:sz w:val="28"/>
          <w:szCs w:val="28"/>
        </w:rPr>
        <w:instrText xml:space="preserve"> PAGEREF _Toc76826140 \h </w:instrText>
      </w:r>
      <w:r>
        <w:rPr>
          <w:sz w:val="28"/>
          <w:szCs w:val="28"/>
        </w:rPr>
        <w:fldChar w:fldCharType="separate"/>
      </w:r>
      <w:r>
        <w:rPr>
          <w:sz w:val="28"/>
          <w:szCs w:val="28"/>
        </w:rPr>
        <w:t>38</w:t>
      </w:r>
      <w:r>
        <w:rPr>
          <w:sz w:val="28"/>
          <w:szCs w:val="28"/>
        </w:rPr>
        <w:fldChar w:fldCharType="end"/>
      </w:r>
      <w:r>
        <w:rPr>
          <w:sz w:val="28"/>
          <w:szCs w:val="28"/>
        </w:rPr>
        <w:fldChar w:fldCharType="end"/>
      </w:r>
    </w:p>
    <w:p w14:paraId="5515EE26">
      <w:pPr>
        <w:pStyle w:val="8"/>
        <w:tabs>
          <w:tab w:val="right" w:leader="dot" w:pos="8296"/>
        </w:tabs>
        <w:rPr>
          <w:sz w:val="28"/>
          <w:szCs w:val="28"/>
        </w:rPr>
      </w:pPr>
      <w:r>
        <w:fldChar w:fldCharType="begin"/>
      </w:r>
      <w:r>
        <w:instrText xml:space="preserve"> HYPERLINK \l "_Toc76826141" </w:instrText>
      </w:r>
      <w:r>
        <w:fldChar w:fldCharType="separate"/>
      </w:r>
      <w:r>
        <w:rPr>
          <w:rStyle w:val="13"/>
          <w:rFonts w:hint="eastAsia" w:ascii="楷体_GB2312" w:hAnsi="仿宋" w:eastAsia="楷体_GB2312"/>
          <w:sz w:val="28"/>
          <w:szCs w:val="28"/>
        </w:rPr>
        <w:t>（三）促进产业数字化</w:t>
      </w:r>
      <w:r>
        <w:rPr>
          <w:sz w:val="28"/>
          <w:szCs w:val="28"/>
        </w:rPr>
        <w:tab/>
      </w:r>
      <w:r>
        <w:rPr>
          <w:sz w:val="28"/>
          <w:szCs w:val="28"/>
        </w:rPr>
        <w:fldChar w:fldCharType="begin"/>
      </w:r>
      <w:r>
        <w:rPr>
          <w:sz w:val="28"/>
          <w:szCs w:val="28"/>
        </w:rPr>
        <w:instrText xml:space="preserve"> PAGEREF _Toc76826141 \h </w:instrText>
      </w:r>
      <w:r>
        <w:rPr>
          <w:sz w:val="28"/>
          <w:szCs w:val="28"/>
        </w:rPr>
        <w:fldChar w:fldCharType="separate"/>
      </w:r>
      <w:r>
        <w:rPr>
          <w:sz w:val="28"/>
          <w:szCs w:val="28"/>
        </w:rPr>
        <w:t>39</w:t>
      </w:r>
      <w:r>
        <w:rPr>
          <w:sz w:val="28"/>
          <w:szCs w:val="28"/>
        </w:rPr>
        <w:fldChar w:fldCharType="end"/>
      </w:r>
      <w:r>
        <w:rPr>
          <w:sz w:val="28"/>
          <w:szCs w:val="28"/>
        </w:rPr>
        <w:fldChar w:fldCharType="end"/>
      </w:r>
    </w:p>
    <w:p w14:paraId="04A9B698">
      <w:pPr>
        <w:pStyle w:val="5"/>
        <w:tabs>
          <w:tab w:val="right" w:leader="dot" w:pos="8296"/>
        </w:tabs>
        <w:rPr>
          <w:sz w:val="28"/>
          <w:szCs w:val="28"/>
        </w:rPr>
      </w:pPr>
      <w:r>
        <w:fldChar w:fldCharType="begin"/>
      </w:r>
      <w:r>
        <w:instrText xml:space="preserve"> HYPERLINK \l "_Toc76826142"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推进“制造</w:t>
      </w:r>
      <w:r>
        <w:rPr>
          <w:rStyle w:val="13"/>
          <w:rFonts w:ascii="仿宋_GB2312" w:hAnsi="Times New Roman" w:eastAsia="仿宋_GB2312"/>
          <w:sz w:val="28"/>
          <w:szCs w:val="28"/>
        </w:rPr>
        <w:t>+5G</w:t>
      </w:r>
      <w:r>
        <w:rPr>
          <w:rStyle w:val="13"/>
          <w:rFonts w:hint="eastAsia" w:ascii="仿宋_GB2312" w:hAnsi="Times New Roman" w:eastAsia="仿宋_GB2312"/>
          <w:sz w:val="28"/>
          <w:szCs w:val="28"/>
        </w:rPr>
        <w:t>”的深度融合</w:t>
      </w:r>
      <w:r>
        <w:rPr>
          <w:sz w:val="28"/>
          <w:szCs w:val="28"/>
        </w:rPr>
        <w:tab/>
      </w:r>
      <w:r>
        <w:rPr>
          <w:sz w:val="28"/>
          <w:szCs w:val="28"/>
        </w:rPr>
        <w:fldChar w:fldCharType="begin"/>
      </w:r>
      <w:r>
        <w:rPr>
          <w:sz w:val="28"/>
          <w:szCs w:val="28"/>
        </w:rPr>
        <w:instrText xml:space="preserve"> PAGEREF _Toc76826142 \h </w:instrText>
      </w:r>
      <w:r>
        <w:rPr>
          <w:sz w:val="28"/>
          <w:szCs w:val="28"/>
        </w:rPr>
        <w:fldChar w:fldCharType="separate"/>
      </w:r>
      <w:r>
        <w:rPr>
          <w:sz w:val="28"/>
          <w:szCs w:val="28"/>
        </w:rPr>
        <w:t>39</w:t>
      </w:r>
      <w:r>
        <w:rPr>
          <w:sz w:val="28"/>
          <w:szCs w:val="28"/>
        </w:rPr>
        <w:fldChar w:fldCharType="end"/>
      </w:r>
      <w:r>
        <w:rPr>
          <w:sz w:val="28"/>
          <w:szCs w:val="28"/>
        </w:rPr>
        <w:fldChar w:fldCharType="end"/>
      </w:r>
    </w:p>
    <w:p w14:paraId="47C9378B">
      <w:pPr>
        <w:pStyle w:val="5"/>
        <w:tabs>
          <w:tab w:val="right" w:leader="dot" w:pos="8296"/>
        </w:tabs>
        <w:rPr>
          <w:sz w:val="28"/>
          <w:szCs w:val="28"/>
        </w:rPr>
      </w:pPr>
      <w:r>
        <w:fldChar w:fldCharType="begin"/>
      </w:r>
      <w:r>
        <w:instrText xml:space="preserve"> HYPERLINK \l "_Toc76826143"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深化工业互联网与制造业融合发展</w:t>
      </w:r>
      <w:r>
        <w:rPr>
          <w:sz w:val="28"/>
          <w:szCs w:val="28"/>
        </w:rPr>
        <w:tab/>
      </w:r>
      <w:r>
        <w:rPr>
          <w:sz w:val="28"/>
          <w:szCs w:val="28"/>
        </w:rPr>
        <w:fldChar w:fldCharType="begin"/>
      </w:r>
      <w:r>
        <w:rPr>
          <w:sz w:val="28"/>
          <w:szCs w:val="28"/>
        </w:rPr>
        <w:instrText xml:space="preserve"> PAGEREF _Toc76826143 \h </w:instrText>
      </w:r>
      <w:r>
        <w:rPr>
          <w:sz w:val="28"/>
          <w:szCs w:val="28"/>
        </w:rPr>
        <w:fldChar w:fldCharType="separate"/>
      </w:r>
      <w:r>
        <w:rPr>
          <w:sz w:val="28"/>
          <w:szCs w:val="28"/>
        </w:rPr>
        <w:t>39</w:t>
      </w:r>
      <w:r>
        <w:rPr>
          <w:sz w:val="28"/>
          <w:szCs w:val="28"/>
        </w:rPr>
        <w:fldChar w:fldCharType="end"/>
      </w:r>
      <w:r>
        <w:rPr>
          <w:sz w:val="28"/>
          <w:szCs w:val="28"/>
        </w:rPr>
        <w:fldChar w:fldCharType="end"/>
      </w:r>
    </w:p>
    <w:p w14:paraId="3D16065F">
      <w:pPr>
        <w:pStyle w:val="5"/>
        <w:tabs>
          <w:tab w:val="right" w:leader="dot" w:pos="8296"/>
        </w:tabs>
        <w:rPr>
          <w:sz w:val="28"/>
          <w:szCs w:val="28"/>
        </w:rPr>
      </w:pPr>
      <w:r>
        <w:fldChar w:fldCharType="begin"/>
      </w:r>
      <w:r>
        <w:instrText xml:space="preserve"> HYPERLINK \l "_Toc76826144"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加快人工智能与制造业融合发展</w:t>
      </w:r>
      <w:r>
        <w:rPr>
          <w:sz w:val="28"/>
          <w:szCs w:val="28"/>
        </w:rPr>
        <w:tab/>
      </w:r>
      <w:r>
        <w:rPr>
          <w:sz w:val="28"/>
          <w:szCs w:val="28"/>
        </w:rPr>
        <w:fldChar w:fldCharType="begin"/>
      </w:r>
      <w:r>
        <w:rPr>
          <w:sz w:val="28"/>
          <w:szCs w:val="28"/>
        </w:rPr>
        <w:instrText xml:space="preserve"> PAGEREF _Toc76826144 \h </w:instrText>
      </w:r>
      <w:r>
        <w:rPr>
          <w:sz w:val="28"/>
          <w:szCs w:val="28"/>
        </w:rPr>
        <w:fldChar w:fldCharType="separate"/>
      </w:r>
      <w:r>
        <w:rPr>
          <w:sz w:val="28"/>
          <w:szCs w:val="28"/>
        </w:rPr>
        <w:t>40</w:t>
      </w:r>
      <w:r>
        <w:rPr>
          <w:sz w:val="28"/>
          <w:szCs w:val="28"/>
        </w:rPr>
        <w:fldChar w:fldCharType="end"/>
      </w:r>
      <w:r>
        <w:rPr>
          <w:sz w:val="28"/>
          <w:szCs w:val="28"/>
        </w:rPr>
        <w:fldChar w:fldCharType="end"/>
      </w:r>
    </w:p>
    <w:p w14:paraId="14781C70">
      <w:pPr>
        <w:pStyle w:val="5"/>
        <w:tabs>
          <w:tab w:val="right" w:leader="dot" w:pos="8296"/>
        </w:tabs>
        <w:rPr>
          <w:sz w:val="28"/>
          <w:szCs w:val="28"/>
        </w:rPr>
      </w:pPr>
      <w:r>
        <w:fldChar w:fldCharType="begin"/>
      </w:r>
      <w:r>
        <w:instrText xml:space="preserve"> HYPERLINK \l "_Toc76826145"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推进临空经济数字化升级</w:t>
      </w:r>
      <w:r>
        <w:rPr>
          <w:sz w:val="28"/>
          <w:szCs w:val="28"/>
        </w:rPr>
        <w:tab/>
      </w:r>
      <w:r>
        <w:rPr>
          <w:sz w:val="28"/>
          <w:szCs w:val="28"/>
        </w:rPr>
        <w:fldChar w:fldCharType="begin"/>
      </w:r>
      <w:r>
        <w:rPr>
          <w:sz w:val="28"/>
          <w:szCs w:val="28"/>
        </w:rPr>
        <w:instrText xml:space="preserve"> PAGEREF _Toc76826145 \h </w:instrText>
      </w:r>
      <w:r>
        <w:rPr>
          <w:sz w:val="28"/>
          <w:szCs w:val="28"/>
        </w:rPr>
        <w:fldChar w:fldCharType="separate"/>
      </w:r>
      <w:r>
        <w:rPr>
          <w:sz w:val="28"/>
          <w:szCs w:val="28"/>
        </w:rPr>
        <w:t>40</w:t>
      </w:r>
      <w:r>
        <w:rPr>
          <w:sz w:val="28"/>
          <w:szCs w:val="28"/>
        </w:rPr>
        <w:fldChar w:fldCharType="end"/>
      </w:r>
      <w:r>
        <w:rPr>
          <w:sz w:val="28"/>
          <w:szCs w:val="28"/>
        </w:rPr>
        <w:fldChar w:fldCharType="end"/>
      </w:r>
    </w:p>
    <w:p w14:paraId="730E8E48">
      <w:pPr>
        <w:pStyle w:val="7"/>
        <w:tabs>
          <w:tab w:val="right" w:leader="dot" w:pos="8296"/>
        </w:tabs>
        <w:rPr>
          <w:sz w:val="28"/>
          <w:szCs w:val="28"/>
        </w:rPr>
      </w:pPr>
      <w:r>
        <w:fldChar w:fldCharType="begin"/>
      </w:r>
      <w:r>
        <w:instrText xml:space="preserve"> HYPERLINK \l "_Toc76826146" </w:instrText>
      </w:r>
      <w:r>
        <w:fldChar w:fldCharType="separate"/>
      </w:r>
      <w:r>
        <w:rPr>
          <w:rStyle w:val="13"/>
          <w:rFonts w:hint="eastAsia" w:ascii="黑体" w:hAnsi="黑体" w:eastAsia="黑体"/>
          <w:sz w:val="28"/>
          <w:szCs w:val="28"/>
        </w:rPr>
        <w:t>六、优化产业空间布局</w:t>
      </w:r>
      <w:r>
        <w:rPr>
          <w:sz w:val="28"/>
          <w:szCs w:val="28"/>
        </w:rPr>
        <w:tab/>
      </w:r>
      <w:r>
        <w:rPr>
          <w:sz w:val="28"/>
          <w:szCs w:val="28"/>
        </w:rPr>
        <w:fldChar w:fldCharType="begin"/>
      </w:r>
      <w:r>
        <w:rPr>
          <w:sz w:val="28"/>
          <w:szCs w:val="28"/>
        </w:rPr>
        <w:instrText xml:space="preserve"> PAGEREF _Toc76826146 \h </w:instrText>
      </w:r>
      <w:r>
        <w:rPr>
          <w:sz w:val="28"/>
          <w:szCs w:val="28"/>
        </w:rPr>
        <w:fldChar w:fldCharType="separate"/>
      </w:r>
      <w:r>
        <w:rPr>
          <w:sz w:val="28"/>
          <w:szCs w:val="28"/>
        </w:rPr>
        <w:t>41</w:t>
      </w:r>
      <w:r>
        <w:rPr>
          <w:sz w:val="28"/>
          <w:szCs w:val="28"/>
        </w:rPr>
        <w:fldChar w:fldCharType="end"/>
      </w:r>
      <w:r>
        <w:rPr>
          <w:sz w:val="28"/>
          <w:szCs w:val="28"/>
        </w:rPr>
        <w:fldChar w:fldCharType="end"/>
      </w:r>
    </w:p>
    <w:p w14:paraId="5BA1547F">
      <w:pPr>
        <w:pStyle w:val="8"/>
        <w:tabs>
          <w:tab w:val="right" w:leader="dot" w:pos="8296"/>
        </w:tabs>
        <w:rPr>
          <w:sz w:val="28"/>
          <w:szCs w:val="28"/>
        </w:rPr>
      </w:pPr>
      <w:r>
        <w:fldChar w:fldCharType="begin"/>
      </w:r>
      <w:r>
        <w:instrText xml:space="preserve"> HYPERLINK \l "_Toc76826147" </w:instrText>
      </w:r>
      <w:r>
        <w:fldChar w:fldCharType="separate"/>
      </w:r>
      <w:r>
        <w:rPr>
          <w:rStyle w:val="13"/>
          <w:rFonts w:hint="eastAsia" w:ascii="楷体_GB2312" w:hAnsi="仿宋" w:eastAsia="楷体_GB2312"/>
          <w:sz w:val="28"/>
          <w:szCs w:val="28"/>
        </w:rPr>
        <w:t>（一）空间布局</w:t>
      </w:r>
      <w:r>
        <w:rPr>
          <w:sz w:val="28"/>
          <w:szCs w:val="28"/>
        </w:rPr>
        <w:tab/>
      </w:r>
      <w:r>
        <w:rPr>
          <w:sz w:val="28"/>
          <w:szCs w:val="28"/>
        </w:rPr>
        <w:fldChar w:fldCharType="begin"/>
      </w:r>
      <w:r>
        <w:rPr>
          <w:sz w:val="28"/>
          <w:szCs w:val="28"/>
        </w:rPr>
        <w:instrText xml:space="preserve"> PAGEREF _Toc76826147 \h </w:instrText>
      </w:r>
      <w:r>
        <w:rPr>
          <w:sz w:val="28"/>
          <w:szCs w:val="28"/>
        </w:rPr>
        <w:fldChar w:fldCharType="separate"/>
      </w:r>
      <w:r>
        <w:rPr>
          <w:sz w:val="28"/>
          <w:szCs w:val="28"/>
        </w:rPr>
        <w:t>41</w:t>
      </w:r>
      <w:r>
        <w:rPr>
          <w:sz w:val="28"/>
          <w:szCs w:val="28"/>
        </w:rPr>
        <w:fldChar w:fldCharType="end"/>
      </w:r>
      <w:r>
        <w:rPr>
          <w:sz w:val="28"/>
          <w:szCs w:val="28"/>
        </w:rPr>
        <w:fldChar w:fldCharType="end"/>
      </w:r>
    </w:p>
    <w:p w14:paraId="377C2701">
      <w:pPr>
        <w:pStyle w:val="8"/>
        <w:tabs>
          <w:tab w:val="right" w:leader="dot" w:pos="8296"/>
        </w:tabs>
        <w:rPr>
          <w:sz w:val="28"/>
          <w:szCs w:val="28"/>
        </w:rPr>
      </w:pPr>
      <w:r>
        <w:fldChar w:fldCharType="begin"/>
      </w:r>
      <w:r>
        <w:instrText xml:space="preserve"> HYPERLINK \l "_Toc76826148" </w:instrText>
      </w:r>
      <w:r>
        <w:fldChar w:fldCharType="separate"/>
      </w:r>
      <w:r>
        <w:rPr>
          <w:rStyle w:val="13"/>
          <w:rFonts w:hint="eastAsia" w:ascii="楷体_GB2312" w:hAnsi="仿宋" w:eastAsia="楷体_GB2312"/>
          <w:sz w:val="28"/>
          <w:szCs w:val="28"/>
        </w:rPr>
        <w:t>（二）重点集群发展方向</w:t>
      </w:r>
      <w:r>
        <w:rPr>
          <w:sz w:val="28"/>
          <w:szCs w:val="28"/>
        </w:rPr>
        <w:tab/>
      </w:r>
      <w:r>
        <w:rPr>
          <w:sz w:val="28"/>
          <w:szCs w:val="28"/>
        </w:rPr>
        <w:fldChar w:fldCharType="begin"/>
      </w:r>
      <w:r>
        <w:rPr>
          <w:sz w:val="28"/>
          <w:szCs w:val="28"/>
        </w:rPr>
        <w:instrText xml:space="preserve"> PAGEREF _Toc76826148 \h </w:instrText>
      </w:r>
      <w:r>
        <w:rPr>
          <w:sz w:val="28"/>
          <w:szCs w:val="28"/>
        </w:rPr>
        <w:fldChar w:fldCharType="separate"/>
      </w:r>
      <w:r>
        <w:rPr>
          <w:sz w:val="28"/>
          <w:szCs w:val="28"/>
        </w:rPr>
        <w:t>42</w:t>
      </w:r>
      <w:r>
        <w:rPr>
          <w:sz w:val="28"/>
          <w:szCs w:val="28"/>
        </w:rPr>
        <w:fldChar w:fldCharType="end"/>
      </w:r>
      <w:r>
        <w:rPr>
          <w:sz w:val="28"/>
          <w:szCs w:val="28"/>
        </w:rPr>
        <w:fldChar w:fldCharType="end"/>
      </w:r>
    </w:p>
    <w:p w14:paraId="0AE6B6E6">
      <w:pPr>
        <w:pStyle w:val="8"/>
        <w:tabs>
          <w:tab w:val="right" w:leader="dot" w:pos="8296"/>
        </w:tabs>
        <w:rPr>
          <w:sz w:val="28"/>
          <w:szCs w:val="28"/>
        </w:rPr>
      </w:pPr>
      <w:r>
        <w:fldChar w:fldCharType="begin"/>
      </w:r>
      <w:r>
        <w:instrText xml:space="preserve"> HYPERLINK \l "_Toc76826149" </w:instrText>
      </w:r>
      <w:r>
        <w:fldChar w:fldCharType="separate"/>
      </w:r>
      <w:r>
        <w:rPr>
          <w:rStyle w:val="13"/>
          <w:rFonts w:hint="eastAsia" w:ascii="楷体_GB2312" w:hAnsi="仿宋" w:eastAsia="楷体_GB2312"/>
          <w:sz w:val="28"/>
          <w:szCs w:val="28"/>
        </w:rPr>
        <w:t>（三）重点园区发展方向</w:t>
      </w:r>
      <w:r>
        <w:rPr>
          <w:sz w:val="28"/>
          <w:szCs w:val="28"/>
        </w:rPr>
        <w:tab/>
      </w:r>
      <w:r>
        <w:rPr>
          <w:sz w:val="28"/>
          <w:szCs w:val="28"/>
        </w:rPr>
        <w:fldChar w:fldCharType="begin"/>
      </w:r>
      <w:r>
        <w:rPr>
          <w:sz w:val="28"/>
          <w:szCs w:val="28"/>
        </w:rPr>
        <w:instrText xml:space="preserve"> PAGEREF _Toc76826149 \h </w:instrText>
      </w:r>
      <w:r>
        <w:rPr>
          <w:sz w:val="28"/>
          <w:szCs w:val="28"/>
        </w:rPr>
        <w:fldChar w:fldCharType="separate"/>
      </w:r>
      <w:r>
        <w:rPr>
          <w:sz w:val="28"/>
          <w:szCs w:val="28"/>
        </w:rPr>
        <w:t>46</w:t>
      </w:r>
      <w:r>
        <w:rPr>
          <w:sz w:val="28"/>
          <w:szCs w:val="28"/>
        </w:rPr>
        <w:fldChar w:fldCharType="end"/>
      </w:r>
      <w:r>
        <w:rPr>
          <w:sz w:val="28"/>
          <w:szCs w:val="28"/>
        </w:rPr>
        <w:fldChar w:fldCharType="end"/>
      </w:r>
    </w:p>
    <w:p w14:paraId="3949C629">
      <w:pPr>
        <w:pStyle w:val="7"/>
        <w:tabs>
          <w:tab w:val="right" w:leader="dot" w:pos="8296"/>
        </w:tabs>
        <w:rPr>
          <w:sz w:val="28"/>
          <w:szCs w:val="28"/>
        </w:rPr>
      </w:pPr>
      <w:r>
        <w:fldChar w:fldCharType="begin"/>
      </w:r>
      <w:r>
        <w:instrText xml:space="preserve"> HYPERLINK \l "_Toc76826150" </w:instrText>
      </w:r>
      <w:r>
        <w:fldChar w:fldCharType="separate"/>
      </w:r>
      <w:r>
        <w:rPr>
          <w:rStyle w:val="13"/>
          <w:rFonts w:hint="eastAsia" w:ascii="黑体" w:hAnsi="黑体" w:eastAsia="黑体"/>
          <w:sz w:val="28"/>
          <w:szCs w:val="28"/>
        </w:rPr>
        <w:t>七、提升产业创新能力</w:t>
      </w:r>
      <w:r>
        <w:rPr>
          <w:sz w:val="28"/>
          <w:szCs w:val="28"/>
        </w:rPr>
        <w:tab/>
      </w:r>
      <w:r>
        <w:rPr>
          <w:sz w:val="28"/>
          <w:szCs w:val="28"/>
        </w:rPr>
        <w:fldChar w:fldCharType="begin"/>
      </w:r>
      <w:r>
        <w:rPr>
          <w:sz w:val="28"/>
          <w:szCs w:val="28"/>
        </w:rPr>
        <w:instrText xml:space="preserve"> PAGEREF _Toc76826150 \h </w:instrText>
      </w:r>
      <w:r>
        <w:rPr>
          <w:sz w:val="28"/>
          <w:szCs w:val="28"/>
        </w:rPr>
        <w:fldChar w:fldCharType="separate"/>
      </w:r>
      <w:r>
        <w:rPr>
          <w:sz w:val="28"/>
          <w:szCs w:val="28"/>
        </w:rPr>
        <w:t>48</w:t>
      </w:r>
      <w:r>
        <w:rPr>
          <w:sz w:val="28"/>
          <w:szCs w:val="28"/>
        </w:rPr>
        <w:fldChar w:fldCharType="end"/>
      </w:r>
      <w:r>
        <w:rPr>
          <w:sz w:val="28"/>
          <w:szCs w:val="28"/>
        </w:rPr>
        <w:fldChar w:fldCharType="end"/>
      </w:r>
    </w:p>
    <w:p w14:paraId="0AECE66C">
      <w:pPr>
        <w:pStyle w:val="8"/>
        <w:tabs>
          <w:tab w:val="right" w:leader="dot" w:pos="8296"/>
        </w:tabs>
        <w:rPr>
          <w:sz w:val="28"/>
          <w:szCs w:val="28"/>
        </w:rPr>
      </w:pPr>
      <w:r>
        <w:fldChar w:fldCharType="begin"/>
      </w:r>
      <w:r>
        <w:instrText xml:space="preserve"> HYPERLINK \l "_Toc76826151" </w:instrText>
      </w:r>
      <w:r>
        <w:fldChar w:fldCharType="separate"/>
      </w:r>
      <w:r>
        <w:rPr>
          <w:rStyle w:val="13"/>
          <w:rFonts w:hint="eastAsia" w:ascii="楷体_GB2312" w:hAnsi="仿宋" w:eastAsia="楷体_GB2312"/>
          <w:sz w:val="28"/>
          <w:szCs w:val="28"/>
        </w:rPr>
        <w:t>（一）强化自主创新</w:t>
      </w:r>
      <w:r>
        <w:rPr>
          <w:sz w:val="28"/>
          <w:szCs w:val="28"/>
        </w:rPr>
        <w:tab/>
      </w:r>
      <w:r>
        <w:rPr>
          <w:sz w:val="28"/>
          <w:szCs w:val="28"/>
        </w:rPr>
        <w:fldChar w:fldCharType="begin"/>
      </w:r>
      <w:r>
        <w:rPr>
          <w:sz w:val="28"/>
          <w:szCs w:val="28"/>
        </w:rPr>
        <w:instrText xml:space="preserve"> PAGEREF _Toc76826151 \h </w:instrText>
      </w:r>
      <w:r>
        <w:rPr>
          <w:sz w:val="28"/>
          <w:szCs w:val="28"/>
        </w:rPr>
        <w:fldChar w:fldCharType="separate"/>
      </w:r>
      <w:r>
        <w:rPr>
          <w:sz w:val="28"/>
          <w:szCs w:val="28"/>
        </w:rPr>
        <w:t>48</w:t>
      </w:r>
      <w:r>
        <w:rPr>
          <w:sz w:val="28"/>
          <w:szCs w:val="28"/>
        </w:rPr>
        <w:fldChar w:fldCharType="end"/>
      </w:r>
      <w:r>
        <w:rPr>
          <w:sz w:val="28"/>
          <w:szCs w:val="28"/>
        </w:rPr>
        <w:fldChar w:fldCharType="end"/>
      </w:r>
    </w:p>
    <w:p w14:paraId="64B7B62C">
      <w:pPr>
        <w:pStyle w:val="5"/>
        <w:tabs>
          <w:tab w:val="right" w:leader="dot" w:pos="8296"/>
        </w:tabs>
        <w:rPr>
          <w:sz w:val="28"/>
          <w:szCs w:val="28"/>
        </w:rPr>
      </w:pPr>
      <w:r>
        <w:fldChar w:fldCharType="begin"/>
      </w:r>
      <w:r>
        <w:instrText xml:space="preserve"> HYPERLINK \l "_Toc76826152"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加强关键共性技术创新</w:t>
      </w:r>
      <w:r>
        <w:rPr>
          <w:sz w:val="28"/>
          <w:szCs w:val="28"/>
        </w:rPr>
        <w:tab/>
      </w:r>
      <w:r>
        <w:rPr>
          <w:sz w:val="28"/>
          <w:szCs w:val="28"/>
        </w:rPr>
        <w:fldChar w:fldCharType="begin"/>
      </w:r>
      <w:r>
        <w:rPr>
          <w:sz w:val="28"/>
          <w:szCs w:val="28"/>
        </w:rPr>
        <w:instrText xml:space="preserve"> PAGEREF _Toc76826152 \h </w:instrText>
      </w:r>
      <w:r>
        <w:rPr>
          <w:sz w:val="28"/>
          <w:szCs w:val="28"/>
        </w:rPr>
        <w:fldChar w:fldCharType="separate"/>
      </w:r>
      <w:r>
        <w:rPr>
          <w:sz w:val="28"/>
          <w:szCs w:val="28"/>
        </w:rPr>
        <w:t>48</w:t>
      </w:r>
      <w:r>
        <w:rPr>
          <w:sz w:val="28"/>
          <w:szCs w:val="28"/>
        </w:rPr>
        <w:fldChar w:fldCharType="end"/>
      </w:r>
      <w:r>
        <w:rPr>
          <w:sz w:val="28"/>
          <w:szCs w:val="28"/>
        </w:rPr>
        <w:fldChar w:fldCharType="end"/>
      </w:r>
    </w:p>
    <w:p w14:paraId="698FF8BE">
      <w:pPr>
        <w:pStyle w:val="5"/>
        <w:tabs>
          <w:tab w:val="right" w:leader="dot" w:pos="8296"/>
        </w:tabs>
        <w:rPr>
          <w:sz w:val="28"/>
          <w:szCs w:val="28"/>
        </w:rPr>
      </w:pPr>
      <w:r>
        <w:fldChar w:fldCharType="begin"/>
      </w:r>
      <w:r>
        <w:instrText xml:space="preserve"> HYPERLINK \l "_Toc76826153"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加快创新平台建设</w:t>
      </w:r>
      <w:r>
        <w:rPr>
          <w:sz w:val="28"/>
          <w:szCs w:val="28"/>
        </w:rPr>
        <w:tab/>
      </w:r>
      <w:r>
        <w:rPr>
          <w:sz w:val="28"/>
          <w:szCs w:val="28"/>
        </w:rPr>
        <w:fldChar w:fldCharType="begin"/>
      </w:r>
      <w:r>
        <w:rPr>
          <w:sz w:val="28"/>
          <w:szCs w:val="28"/>
        </w:rPr>
        <w:instrText xml:space="preserve"> PAGEREF _Toc76826153 \h </w:instrText>
      </w:r>
      <w:r>
        <w:rPr>
          <w:sz w:val="28"/>
          <w:szCs w:val="28"/>
        </w:rPr>
        <w:fldChar w:fldCharType="separate"/>
      </w:r>
      <w:r>
        <w:rPr>
          <w:sz w:val="28"/>
          <w:szCs w:val="28"/>
        </w:rPr>
        <w:t>49</w:t>
      </w:r>
      <w:r>
        <w:rPr>
          <w:sz w:val="28"/>
          <w:szCs w:val="28"/>
        </w:rPr>
        <w:fldChar w:fldCharType="end"/>
      </w:r>
      <w:r>
        <w:rPr>
          <w:sz w:val="28"/>
          <w:szCs w:val="28"/>
        </w:rPr>
        <w:fldChar w:fldCharType="end"/>
      </w:r>
    </w:p>
    <w:p w14:paraId="307059D0">
      <w:pPr>
        <w:pStyle w:val="5"/>
        <w:tabs>
          <w:tab w:val="right" w:leader="dot" w:pos="8296"/>
        </w:tabs>
        <w:rPr>
          <w:sz w:val="28"/>
          <w:szCs w:val="28"/>
        </w:rPr>
      </w:pPr>
      <w:r>
        <w:fldChar w:fldCharType="begin"/>
      </w:r>
      <w:r>
        <w:instrText xml:space="preserve"> HYPERLINK \l "_Toc76826154"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搭建先进制造业创新服务网络</w:t>
      </w:r>
      <w:r>
        <w:rPr>
          <w:sz w:val="28"/>
          <w:szCs w:val="28"/>
        </w:rPr>
        <w:tab/>
      </w:r>
      <w:r>
        <w:rPr>
          <w:sz w:val="28"/>
          <w:szCs w:val="28"/>
        </w:rPr>
        <w:fldChar w:fldCharType="begin"/>
      </w:r>
      <w:r>
        <w:rPr>
          <w:sz w:val="28"/>
          <w:szCs w:val="28"/>
        </w:rPr>
        <w:instrText xml:space="preserve"> PAGEREF _Toc76826154 \h </w:instrText>
      </w:r>
      <w:r>
        <w:rPr>
          <w:sz w:val="28"/>
          <w:szCs w:val="28"/>
        </w:rPr>
        <w:fldChar w:fldCharType="separate"/>
      </w:r>
      <w:r>
        <w:rPr>
          <w:sz w:val="28"/>
          <w:szCs w:val="28"/>
        </w:rPr>
        <w:t>49</w:t>
      </w:r>
      <w:r>
        <w:rPr>
          <w:sz w:val="28"/>
          <w:szCs w:val="28"/>
        </w:rPr>
        <w:fldChar w:fldCharType="end"/>
      </w:r>
      <w:r>
        <w:rPr>
          <w:sz w:val="28"/>
          <w:szCs w:val="28"/>
        </w:rPr>
        <w:fldChar w:fldCharType="end"/>
      </w:r>
    </w:p>
    <w:p w14:paraId="7867BA8A">
      <w:pPr>
        <w:pStyle w:val="5"/>
        <w:tabs>
          <w:tab w:val="right" w:leader="dot" w:pos="8296"/>
        </w:tabs>
        <w:rPr>
          <w:sz w:val="28"/>
          <w:szCs w:val="28"/>
        </w:rPr>
      </w:pPr>
      <w:r>
        <w:fldChar w:fldCharType="begin"/>
      </w:r>
      <w:r>
        <w:instrText xml:space="preserve"> HYPERLINK \l "_Toc76826155"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大力推动工业技术改造</w:t>
      </w:r>
      <w:r>
        <w:rPr>
          <w:sz w:val="28"/>
          <w:szCs w:val="28"/>
        </w:rPr>
        <w:tab/>
      </w:r>
      <w:r>
        <w:rPr>
          <w:sz w:val="28"/>
          <w:szCs w:val="28"/>
        </w:rPr>
        <w:fldChar w:fldCharType="begin"/>
      </w:r>
      <w:r>
        <w:rPr>
          <w:sz w:val="28"/>
          <w:szCs w:val="28"/>
        </w:rPr>
        <w:instrText xml:space="preserve"> PAGEREF _Toc76826155 \h </w:instrText>
      </w:r>
      <w:r>
        <w:rPr>
          <w:sz w:val="28"/>
          <w:szCs w:val="28"/>
        </w:rPr>
        <w:fldChar w:fldCharType="separate"/>
      </w:r>
      <w:r>
        <w:rPr>
          <w:sz w:val="28"/>
          <w:szCs w:val="28"/>
        </w:rPr>
        <w:t>49</w:t>
      </w:r>
      <w:r>
        <w:rPr>
          <w:sz w:val="28"/>
          <w:szCs w:val="28"/>
        </w:rPr>
        <w:fldChar w:fldCharType="end"/>
      </w:r>
      <w:r>
        <w:rPr>
          <w:sz w:val="28"/>
          <w:szCs w:val="28"/>
        </w:rPr>
        <w:fldChar w:fldCharType="end"/>
      </w:r>
    </w:p>
    <w:p w14:paraId="4881DB5B">
      <w:pPr>
        <w:pStyle w:val="8"/>
        <w:tabs>
          <w:tab w:val="right" w:leader="dot" w:pos="8296"/>
        </w:tabs>
        <w:rPr>
          <w:sz w:val="28"/>
          <w:szCs w:val="28"/>
        </w:rPr>
      </w:pPr>
      <w:r>
        <w:fldChar w:fldCharType="begin"/>
      </w:r>
      <w:r>
        <w:instrText xml:space="preserve"> HYPERLINK \l "_Toc76826156" </w:instrText>
      </w:r>
      <w:r>
        <w:fldChar w:fldCharType="separate"/>
      </w:r>
      <w:r>
        <w:rPr>
          <w:rStyle w:val="13"/>
          <w:rFonts w:hint="eastAsia" w:ascii="楷体_GB2312" w:hAnsi="仿宋" w:eastAsia="楷体_GB2312"/>
          <w:sz w:val="28"/>
          <w:szCs w:val="28"/>
        </w:rPr>
        <w:t>（二）加快发展服务型制造</w:t>
      </w:r>
      <w:r>
        <w:rPr>
          <w:sz w:val="28"/>
          <w:szCs w:val="28"/>
        </w:rPr>
        <w:tab/>
      </w:r>
      <w:r>
        <w:rPr>
          <w:sz w:val="28"/>
          <w:szCs w:val="28"/>
        </w:rPr>
        <w:fldChar w:fldCharType="begin"/>
      </w:r>
      <w:r>
        <w:rPr>
          <w:sz w:val="28"/>
          <w:szCs w:val="28"/>
        </w:rPr>
        <w:instrText xml:space="preserve"> PAGEREF _Toc76826156 \h </w:instrText>
      </w:r>
      <w:r>
        <w:rPr>
          <w:sz w:val="28"/>
          <w:szCs w:val="28"/>
        </w:rPr>
        <w:fldChar w:fldCharType="separate"/>
      </w:r>
      <w:r>
        <w:rPr>
          <w:sz w:val="28"/>
          <w:szCs w:val="28"/>
        </w:rPr>
        <w:t>50</w:t>
      </w:r>
      <w:r>
        <w:rPr>
          <w:sz w:val="28"/>
          <w:szCs w:val="28"/>
        </w:rPr>
        <w:fldChar w:fldCharType="end"/>
      </w:r>
      <w:r>
        <w:rPr>
          <w:sz w:val="28"/>
          <w:szCs w:val="28"/>
        </w:rPr>
        <w:fldChar w:fldCharType="end"/>
      </w:r>
    </w:p>
    <w:p w14:paraId="72FA14FF">
      <w:pPr>
        <w:pStyle w:val="5"/>
        <w:tabs>
          <w:tab w:val="right" w:leader="dot" w:pos="8296"/>
        </w:tabs>
        <w:rPr>
          <w:sz w:val="28"/>
          <w:szCs w:val="28"/>
        </w:rPr>
      </w:pPr>
      <w:r>
        <w:fldChar w:fldCharType="begin"/>
      </w:r>
      <w:r>
        <w:instrText xml:space="preserve"> HYPERLINK \l "_Toc76826157"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开展服务型制造示范试点</w:t>
      </w:r>
      <w:r>
        <w:rPr>
          <w:sz w:val="28"/>
          <w:szCs w:val="28"/>
        </w:rPr>
        <w:tab/>
      </w:r>
      <w:r>
        <w:rPr>
          <w:sz w:val="28"/>
          <w:szCs w:val="28"/>
        </w:rPr>
        <w:fldChar w:fldCharType="begin"/>
      </w:r>
      <w:r>
        <w:rPr>
          <w:sz w:val="28"/>
          <w:szCs w:val="28"/>
        </w:rPr>
        <w:instrText xml:space="preserve"> PAGEREF _Toc76826157 \h </w:instrText>
      </w:r>
      <w:r>
        <w:rPr>
          <w:sz w:val="28"/>
          <w:szCs w:val="28"/>
        </w:rPr>
        <w:fldChar w:fldCharType="separate"/>
      </w:r>
      <w:r>
        <w:rPr>
          <w:sz w:val="28"/>
          <w:szCs w:val="28"/>
        </w:rPr>
        <w:t>50</w:t>
      </w:r>
      <w:r>
        <w:rPr>
          <w:sz w:val="28"/>
          <w:szCs w:val="28"/>
        </w:rPr>
        <w:fldChar w:fldCharType="end"/>
      </w:r>
      <w:r>
        <w:rPr>
          <w:sz w:val="28"/>
          <w:szCs w:val="28"/>
        </w:rPr>
        <w:fldChar w:fldCharType="end"/>
      </w:r>
    </w:p>
    <w:p w14:paraId="5CCDAA6A">
      <w:pPr>
        <w:pStyle w:val="5"/>
        <w:tabs>
          <w:tab w:val="right" w:leader="dot" w:pos="8296"/>
        </w:tabs>
        <w:rPr>
          <w:sz w:val="28"/>
          <w:szCs w:val="28"/>
        </w:rPr>
      </w:pPr>
      <w:r>
        <w:fldChar w:fldCharType="begin"/>
      </w:r>
      <w:r>
        <w:instrText xml:space="preserve"> HYPERLINK \l "_Toc76826158"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加强设计引领</w:t>
      </w:r>
      <w:r>
        <w:rPr>
          <w:sz w:val="28"/>
          <w:szCs w:val="28"/>
        </w:rPr>
        <w:tab/>
      </w:r>
      <w:r>
        <w:rPr>
          <w:sz w:val="28"/>
          <w:szCs w:val="28"/>
        </w:rPr>
        <w:fldChar w:fldCharType="begin"/>
      </w:r>
      <w:r>
        <w:rPr>
          <w:sz w:val="28"/>
          <w:szCs w:val="28"/>
        </w:rPr>
        <w:instrText xml:space="preserve"> PAGEREF _Toc76826158 \h </w:instrText>
      </w:r>
      <w:r>
        <w:rPr>
          <w:sz w:val="28"/>
          <w:szCs w:val="28"/>
        </w:rPr>
        <w:fldChar w:fldCharType="separate"/>
      </w:r>
      <w:r>
        <w:rPr>
          <w:sz w:val="28"/>
          <w:szCs w:val="28"/>
        </w:rPr>
        <w:t>50</w:t>
      </w:r>
      <w:r>
        <w:rPr>
          <w:sz w:val="28"/>
          <w:szCs w:val="28"/>
        </w:rPr>
        <w:fldChar w:fldCharType="end"/>
      </w:r>
      <w:r>
        <w:rPr>
          <w:sz w:val="28"/>
          <w:szCs w:val="28"/>
        </w:rPr>
        <w:fldChar w:fldCharType="end"/>
      </w:r>
    </w:p>
    <w:p w14:paraId="1EA46DA0">
      <w:pPr>
        <w:pStyle w:val="5"/>
        <w:tabs>
          <w:tab w:val="right" w:leader="dot" w:pos="8296"/>
        </w:tabs>
        <w:rPr>
          <w:sz w:val="28"/>
          <w:szCs w:val="28"/>
        </w:rPr>
      </w:pPr>
      <w:r>
        <w:fldChar w:fldCharType="begin"/>
      </w:r>
      <w:r>
        <w:instrText xml:space="preserve"> HYPERLINK \l "_Toc76826159"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加快</w:t>
      </w:r>
      <w:r>
        <w:rPr>
          <w:rStyle w:val="13"/>
          <w:rFonts w:ascii="仿宋_GB2312" w:hAnsi="Times New Roman" w:eastAsia="仿宋_GB2312"/>
          <w:sz w:val="28"/>
          <w:szCs w:val="28"/>
        </w:rPr>
        <w:t>“</w:t>
      </w:r>
      <w:r>
        <w:rPr>
          <w:rStyle w:val="13"/>
          <w:rFonts w:hint="eastAsia" w:ascii="仿宋_GB2312" w:hAnsi="Times New Roman" w:eastAsia="仿宋_GB2312"/>
          <w:sz w:val="28"/>
          <w:szCs w:val="28"/>
        </w:rPr>
        <w:t>定制之都</w:t>
      </w:r>
      <w:r>
        <w:rPr>
          <w:rStyle w:val="13"/>
          <w:rFonts w:ascii="仿宋_GB2312" w:hAnsi="Times New Roman" w:eastAsia="仿宋_GB2312"/>
          <w:sz w:val="28"/>
          <w:szCs w:val="28"/>
        </w:rPr>
        <w:t>”</w:t>
      </w:r>
      <w:r>
        <w:rPr>
          <w:rStyle w:val="13"/>
          <w:rFonts w:hint="eastAsia" w:ascii="仿宋_GB2312" w:hAnsi="Times New Roman" w:eastAsia="仿宋_GB2312"/>
          <w:sz w:val="28"/>
          <w:szCs w:val="28"/>
        </w:rPr>
        <w:t>先行示范区建设</w:t>
      </w:r>
      <w:r>
        <w:rPr>
          <w:sz w:val="28"/>
          <w:szCs w:val="28"/>
        </w:rPr>
        <w:tab/>
      </w:r>
      <w:r>
        <w:rPr>
          <w:sz w:val="28"/>
          <w:szCs w:val="28"/>
        </w:rPr>
        <w:fldChar w:fldCharType="begin"/>
      </w:r>
      <w:r>
        <w:rPr>
          <w:sz w:val="28"/>
          <w:szCs w:val="28"/>
        </w:rPr>
        <w:instrText xml:space="preserve"> PAGEREF _Toc76826159 \h </w:instrText>
      </w:r>
      <w:r>
        <w:rPr>
          <w:sz w:val="28"/>
          <w:szCs w:val="28"/>
        </w:rPr>
        <w:fldChar w:fldCharType="separate"/>
      </w:r>
      <w:r>
        <w:rPr>
          <w:sz w:val="28"/>
          <w:szCs w:val="28"/>
        </w:rPr>
        <w:t>51</w:t>
      </w:r>
      <w:r>
        <w:rPr>
          <w:sz w:val="28"/>
          <w:szCs w:val="28"/>
        </w:rPr>
        <w:fldChar w:fldCharType="end"/>
      </w:r>
      <w:r>
        <w:rPr>
          <w:sz w:val="28"/>
          <w:szCs w:val="28"/>
        </w:rPr>
        <w:fldChar w:fldCharType="end"/>
      </w:r>
    </w:p>
    <w:p w14:paraId="5AD05239">
      <w:pPr>
        <w:pStyle w:val="5"/>
        <w:tabs>
          <w:tab w:val="right" w:leader="dot" w:pos="8296"/>
        </w:tabs>
        <w:rPr>
          <w:sz w:val="28"/>
          <w:szCs w:val="28"/>
        </w:rPr>
      </w:pPr>
      <w:r>
        <w:fldChar w:fldCharType="begin"/>
      </w:r>
      <w:r>
        <w:instrText xml:space="preserve"> HYPERLINK \l "_Toc76826160" </w:instrText>
      </w:r>
      <w:r>
        <w:fldChar w:fldCharType="separate"/>
      </w:r>
      <w:r>
        <w:rPr>
          <w:rStyle w:val="13"/>
          <w:rFonts w:ascii="仿宋_GB2312" w:hAnsi="Times New Roman" w:eastAsia="仿宋_GB2312"/>
          <w:sz w:val="28"/>
          <w:szCs w:val="28"/>
        </w:rPr>
        <w:t>4.</w:t>
      </w:r>
      <w:r>
        <w:rPr>
          <w:rStyle w:val="13"/>
          <w:rFonts w:hint="eastAsia" w:ascii="仿宋_GB2312" w:hAnsi="Times New Roman" w:eastAsia="仿宋_GB2312"/>
          <w:sz w:val="28"/>
          <w:szCs w:val="28"/>
        </w:rPr>
        <w:t>加快制造业电子商务应用</w:t>
      </w:r>
      <w:r>
        <w:rPr>
          <w:sz w:val="28"/>
          <w:szCs w:val="28"/>
        </w:rPr>
        <w:tab/>
      </w:r>
      <w:r>
        <w:rPr>
          <w:sz w:val="28"/>
          <w:szCs w:val="28"/>
        </w:rPr>
        <w:fldChar w:fldCharType="begin"/>
      </w:r>
      <w:r>
        <w:rPr>
          <w:sz w:val="28"/>
          <w:szCs w:val="28"/>
        </w:rPr>
        <w:instrText xml:space="preserve"> PAGEREF _Toc76826160 \h </w:instrText>
      </w:r>
      <w:r>
        <w:rPr>
          <w:sz w:val="28"/>
          <w:szCs w:val="28"/>
        </w:rPr>
        <w:fldChar w:fldCharType="separate"/>
      </w:r>
      <w:r>
        <w:rPr>
          <w:sz w:val="28"/>
          <w:szCs w:val="28"/>
        </w:rPr>
        <w:t>51</w:t>
      </w:r>
      <w:r>
        <w:rPr>
          <w:sz w:val="28"/>
          <w:szCs w:val="28"/>
        </w:rPr>
        <w:fldChar w:fldCharType="end"/>
      </w:r>
      <w:r>
        <w:rPr>
          <w:sz w:val="28"/>
          <w:szCs w:val="28"/>
        </w:rPr>
        <w:fldChar w:fldCharType="end"/>
      </w:r>
    </w:p>
    <w:p w14:paraId="73D71484">
      <w:pPr>
        <w:pStyle w:val="8"/>
        <w:tabs>
          <w:tab w:val="right" w:leader="dot" w:pos="8296"/>
        </w:tabs>
        <w:rPr>
          <w:sz w:val="28"/>
          <w:szCs w:val="28"/>
        </w:rPr>
      </w:pPr>
      <w:r>
        <w:fldChar w:fldCharType="begin"/>
      </w:r>
      <w:r>
        <w:instrText xml:space="preserve"> HYPERLINK \l "_Toc76826161" </w:instrText>
      </w:r>
      <w:r>
        <w:fldChar w:fldCharType="separate"/>
      </w:r>
      <w:r>
        <w:rPr>
          <w:rStyle w:val="13"/>
          <w:rFonts w:hint="eastAsia" w:ascii="楷体_GB2312" w:hAnsi="仿宋" w:eastAsia="楷体_GB2312"/>
          <w:sz w:val="28"/>
          <w:szCs w:val="28"/>
        </w:rPr>
        <w:t>（三）激发企业活力</w:t>
      </w:r>
      <w:r>
        <w:rPr>
          <w:sz w:val="28"/>
          <w:szCs w:val="28"/>
        </w:rPr>
        <w:tab/>
      </w:r>
      <w:r>
        <w:rPr>
          <w:sz w:val="28"/>
          <w:szCs w:val="28"/>
        </w:rPr>
        <w:fldChar w:fldCharType="begin"/>
      </w:r>
      <w:r>
        <w:rPr>
          <w:sz w:val="28"/>
          <w:szCs w:val="28"/>
        </w:rPr>
        <w:instrText xml:space="preserve"> PAGEREF _Toc76826161 \h </w:instrText>
      </w:r>
      <w:r>
        <w:rPr>
          <w:sz w:val="28"/>
          <w:szCs w:val="28"/>
        </w:rPr>
        <w:fldChar w:fldCharType="separate"/>
      </w:r>
      <w:r>
        <w:rPr>
          <w:sz w:val="28"/>
          <w:szCs w:val="28"/>
        </w:rPr>
        <w:t>52</w:t>
      </w:r>
      <w:r>
        <w:rPr>
          <w:sz w:val="28"/>
          <w:szCs w:val="28"/>
        </w:rPr>
        <w:fldChar w:fldCharType="end"/>
      </w:r>
      <w:r>
        <w:rPr>
          <w:sz w:val="28"/>
          <w:szCs w:val="28"/>
        </w:rPr>
        <w:fldChar w:fldCharType="end"/>
      </w:r>
    </w:p>
    <w:p w14:paraId="7F08F447">
      <w:pPr>
        <w:pStyle w:val="5"/>
        <w:tabs>
          <w:tab w:val="right" w:leader="dot" w:pos="8296"/>
        </w:tabs>
        <w:rPr>
          <w:sz w:val="28"/>
          <w:szCs w:val="28"/>
        </w:rPr>
      </w:pPr>
      <w:r>
        <w:fldChar w:fldCharType="begin"/>
      </w:r>
      <w:r>
        <w:instrText xml:space="preserve"> HYPERLINK \l "_Toc76826162"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完善创新创业环境</w:t>
      </w:r>
      <w:r>
        <w:rPr>
          <w:sz w:val="28"/>
          <w:szCs w:val="28"/>
        </w:rPr>
        <w:tab/>
      </w:r>
      <w:r>
        <w:rPr>
          <w:sz w:val="28"/>
          <w:szCs w:val="28"/>
        </w:rPr>
        <w:fldChar w:fldCharType="begin"/>
      </w:r>
      <w:r>
        <w:rPr>
          <w:sz w:val="28"/>
          <w:szCs w:val="28"/>
        </w:rPr>
        <w:instrText xml:space="preserve"> PAGEREF _Toc76826162 \h </w:instrText>
      </w:r>
      <w:r>
        <w:rPr>
          <w:sz w:val="28"/>
          <w:szCs w:val="28"/>
        </w:rPr>
        <w:fldChar w:fldCharType="separate"/>
      </w:r>
      <w:r>
        <w:rPr>
          <w:sz w:val="28"/>
          <w:szCs w:val="28"/>
        </w:rPr>
        <w:t>52</w:t>
      </w:r>
      <w:r>
        <w:rPr>
          <w:sz w:val="28"/>
          <w:szCs w:val="28"/>
        </w:rPr>
        <w:fldChar w:fldCharType="end"/>
      </w:r>
      <w:r>
        <w:rPr>
          <w:sz w:val="28"/>
          <w:szCs w:val="28"/>
        </w:rPr>
        <w:fldChar w:fldCharType="end"/>
      </w:r>
    </w:p>
    <w:p w14:paraId="3ECEEB4D">
      <w:pPr>
        <w:pStyle w:val="5"/>
        <w:tabs>
          <w:tab w:val="right" w:leader="dot" w:pos="8296"/>
        </w:tabs>
        <w:rPr>
          <w:sz w:val="28"/>
          <w:szCs w:val="28"/>
        </w:rPr>
      </w:pPr>
      <w:r>
        <w:fldChar w:fldCharType="begin"/>
      </w:r>
      <w:r>
        <w:instrText xml:space="preserve"> HYPERLINK \l "_Toc76826163"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积极培育创新型企业</w:t>
      </w:r>
      <w:r>
        <w:rPr>
          <w:sz w:val="28"/>
          <w:szCs w:val="28"/>
        </w:rPr>
        <w:tab/>
      </w:r>
      <w:r>
        <w:rPr>
          <w:sz w:val="28"/>
          <w:szCs w:val="28"/>
        </w:rPr>
        <w:fldChar w:fldCharType="begin"/>
      </w:r>
      <w:r>
        <w:rPr>
          <w:sz w:val="28"/>
          <w:szCs w:val="28"/>
        </w:rPr>
        <w:instrText xml:space="preserve"> PAGEREF _Toc76826163 \h </w:instrText>
      </w:r>
      <w:r>
        <w:rPr>
          <w:sz w:val="28"/>
          <w:szCs w:val="28"/>
        </w:rPr>
        <w:fldChar w:fldCharType="separate"/>
      </w:r>
      <w:r>
        <w:rPr>
          <w:sz w:val="28"/>
          <w:szCs w:val="28"/>
        </w:rPr>
        <w:t>52</w:t>
      </w:r>
      <w:r>
        <w:rPr>
          <w:sz w:val="28"/>
          <w:szCs w:val="28"/>
        </w:rPr>
        <w:fldChar w:fldCharType="end"/>
      </w:r>
      <w:r>
        <w:rPr>
          <w:sz w:val="28"/>
          <w:szCs w:val="28"/>
        </w:rPr>
        <w:fldChar w:fldCharType="end"/>
      </w:r>
    </w:p>
    <w:p w14:paraId="763DEC3B">
      <w:pPr>
        <w:pStyle w:val="5"/>
        <w:tabs>
          <w:tab w:val="right" w:leader="dot" w:pos="8296"/>
        </w:tabs>
        <w:rPr>
          <w:sz w:val="28"/>
          <w:szCs w:val="28"/>
        </w:rPr>
      </w:pPr>
      <w:r>
        <w:fldChar w:fldCharType="begin"/>
      </w:r>
      <w:r>
        <w:instrText xml:space="preserve"> HYPERLINK \l "_Toc76826164"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切实保护知识产权</w:t>
      </w:r>
      <w:r>
        <w:rPr>
          <w:sz w:val="28"/>
          <w:szCs w:val="28"/>
        </w:rPr>
        <w:tab/>
      </w:r>
      <w:r>
        <w:rPr>
          <w:sz w:val="28"/>
          <w:szCs w:val="28"/>
        </w:rPr>
        <w:fldChar w:fldCharType="begin"/>
      </w:r>
      <w:r>
        <w:rPr>
          <w:sz w:val="28"/>
          <w:szCs w:val="28"/>
        </w:rPr>
        <w:instrText xml:space="preserve"> PAGEREF _Toc76826164 \h </w:instrText>
      </w:r>
      <w:r>
        <w:rPr>
          <w:sz w:val="28"/>
          <w:szCs w:val="28"/>
        </w:rPr>
        <w:fldChar w:fldCharType="separate"/>
      </w:r>
      <w:r>
        <w:rPr>
          <w:sz w:val="28"/>
          <w:szCs w:val="28"/>
        </w:rPr>
        <w:t>53</w:t>
      </w:r>
      <w:r>
        <w:rPr>
          <w:sz w:val="28"/>
          <w:szCs w:val="28"/>
        </w:rPr>
        <w:fldChar w:fldCharType="end"/>
      </w:r>
      <w:r>
        <w:rPr>
          <w:sz w:val="28"/>
          <w:szCs w:val="28"/>
        </w:rPr>
        <w:fldChar w:fldCharType="end"/>
      </w:r>
    </w:p>
    <w:p w14:paraId="2C1786C9">
      <w:pPr>
        <w:pStyle w:val="7"/>
        <w:tabs>
          <w:tab w:val="right" w:leader="dot" w:pos="8296"/>
        </w:tabs>
        <w:rPr>
          <w:sz w:val="28"/>
          <w:szCs w:val="28"/>
        </w:rPr>
      </w:pPr>
      <w:r>
        <w:fldChar w:fldCharType="begin"/>
      </w:r>
      <w:r>
        <w:instrText xml:space="preserve"> HYPERLINK \l "_Toc76826165" </w:instrText>
      </w:r>
      <w:r>
        <w:fldChar w:fldCharType="separate"/>
      </w:r>
      <w:r>
        <w:rPr>
          <w:rStyle w:val="13"/>
          <w:rFonts w:hint="eastAsia" w:ascii="黑体" w:hAnsi="黑体" w:eastAsia="黑体"/>
          <w:sz w:val="28"/>
          <w:szCs w:val="28"/>
        </w:rPr>
        <w:t>八、深化开放合作</w:t>
      </w:r>
      <w:r>
        <w:rPr>
          <w:sz w:val="28"/>
          <w:szCs w:val="28"/>
        </w:rPr>
        <w:tab/>
      </w:r>
      <w:r>
        <w:rPr>
          <w:sz w:val="28"/>
          <w:szCs w:val="28"/>
        </w:rPr>
        <w:fldChar w:fldCharType="begin"/>
      </w:r>
      <w:r>
        <w:rPr>
          <w:sz w:val="28"/>
          <w:szCs w:val="28"/>
        </w:rPr>
        <w:instrText xml:space="preserve"> PAGEREF _Toc76826165 \h </w:instrText>
      </w:r>
      <w:r>
        <w:rPr>
          <w:sz w:val="28"/>
          <w:szCs w:val="28"/>
        </w:rPr>
        <w:fldChar w:fldCharType="separate"/>
      </w:r>
      <w:r>
        <w:rPr>
          <w:sz w:val="28"/>
          <w:szCs w:val="28"/>
        </w:rPr>
        <w:t>53</w:t>
      </w:r>
      <w:r>
        <w:rPr>
          <w:sz w:val="28"/>
          <w:szCs w:val="28"/>
        </w:rPr>
        <w:fldChar w:fldCharType="end"/>
      </w:r>
      <w:r>
        <w:rPr>
          <w:sz w:val="28"/>
          <w:szCs w:val="28"/>
        </w:rPr>
        <w:fldChar w:fldCharType="end"/>
      </w:r>
    </w:p>
    <w:p w14:paraId="4440CEB1">
      <w:pPr>
        <w:pStyle w:val="8"/>
        <w:tabs>
          <w:tab w:val="right" w:leader="dot" w:pos="8296"/>
        </w:tabs>
        <w:rPr>
          <w:sz w:val="28"/>
          <w:szCs w:val="28"/>
        </w:rPr>
      </w:pPr>
      <w:r>
        <w:fldChar w:fldCharType="begin"/>
      </w:r>
      <w:r>
        <w:instrText xml:space="preserve"> HYPERLINK \l "_Toc76826166" </w:instrText>
      </w:r>
      <w:r>
        <w:fldChar w:fldCharType="separate"/>
      </w:r>
      <w:r>
        <w:rPr>
          <w:rStyle w:val="13"/>
          <w:rFonts w:hint="eastAsia" w:ascii="楷体_GB2312" w:hAnsi="仿宋" w:eastAsia="楷体_GB2312"/>
          <w:sz w:val="28"/>
          <w:szCs w:val="28"/>
        </w:rPr>
        <w:t>（一）积极融入粤港澳大湾区先进制造业基地建设</w:t>
      </w:r>
      <w:r>
        <w:rPr>
          <w:sz w:val="28"/>
          <w:szCs w:val="28"/>
        </w:rPr>
        <w:tab/>
      </w:r>
      <w:r>
        <w:rPr>
          <w:sz w:val="28"/>
          <w:szCs w:val="28"/>
        </w:rPr>
        <w:fldChar w:fldCharType="begin"/>
      </w:r>
      <w:r>
        <w:rPr>
          <w:sz w:val="28"/>
          <w:szCs w:val="28"/>
        </w:rPr>
        <w:instrText xml:space="preserve"> PAGEREF _Toc76826166 \h </w:instrText>
      </w:r>
      <w:r>
        <w:rPr>
          <w:sz w:val="28"/>
          <w:szCs w:val="28"/>
        </w:rPr>
        <w:fldChar w:fldCharType="separate"/>
      </w:r>
      <w:r>
        <w:rPr>
          <w:sz w:val="28"/>
          <w:szCs w:val="28"/>
        </w:rPr>
        <w:t>53</w:t>
      </w:r>
      <w:r>
        <w:rPr>
          <w:sz w:val="28"/>
          <w:szCs w:val="28"/>
        </w:rPr>
        <w:fldChar w:fldCharType="end"/>
      </w:r>
      <w:r>
        <w:rPr>
          <w:sz w:val="28"/>
          <w:szCs w:val="28"/>
        </w:rPr>
        <w:fldChar w:fldCharType="end"/>
      </w:r>
    </w:p>
    <w:p w14:paraId="4EE731DC">
      <w:pPr>
        <w:pStyle w:val="5"/>
        <w:tabs>
          <w:tab w:val="right" w:leader="dot" w:pos="8296"/>
        </w:tabs>
        <w:rPr>
          <w:sz w:val="28"/>
          <w:szCs w:val="28"/>
        </w:rPr>
      </w:pPr>
      <w:r>
        <w:fldChar w:fldCharType="begin"/>
      </w:r>
      <w:r>
        <w:instrText xml:space="preserve"> HYPERLINK \l "_Toc76826167" </w:instrText>
      </w:r>
      <w:r>
        <w:fldChar w:fldCharType="separate"/>
      </w:r>
      <w:r>
        <w:rPr>
          <w:rStyle w:val="13"/>
          <w:rFonts w:ascii="仿宋_GB2312" w:hAnsi="Times New Roman" w:eastAsia="仿宋_GB2312"/>
          <w:sz w:val="28"/>
          <w:szCs w:val="28"/>
        </w:rPr>
        <w:t>1.</w:t>
      </w:r>
      <w:r>
        <w:rPr>
          <w:rStyle w:val="13"/>
          <w:rFonts w:ascii="仿宋" w:hAnsi="仿宋" w:eastAsia="仿宋" w:cs="Times New Roman"/>
          <w:sz w:val="28"/>
          <w:szCs w:val="28"/>
        </w:rPr>
        <w:t xml:space="preserve"> </w:t>
      </w:r>
      <w:r>
        <w:rPr>
          <w:rStyle w:val="13"/>
          <w:rFonts w:hint="eastAsia" w:ascii="仿宋" w:hAnsi="仿宋" w:eastAsia="仿宋" w:cs="Times New Roman"/>
          <w:sz w:val="28"/>
          <w:szCs w:val="28"/>
        </w:rPr>
        <w:t>强化打造粤港澳大湾区先进制造业集聚区</w:t>
      </w:r>
      <w:r>
        <w:rPr>
          <w:sz w:val="28"/>
          <w:szCs w:val="28"/>
        </w:rPr>
        <w:tab/>
      </w:r>
      <w:r>
        <w:rPr>
          <w:sz w:val="28"/>
          <w:szCs w:val="28"/>
        </w:rPr>
        <w:fldChar w:fldCharType="begin"/>
      </w:r>
      <w:r>
        <w:rPr>
          <w:sz w:val="28"/>
          <w:szCs w:val="28"/>
        </w:rPr>
        <w:instrText xml:space="preserve"> PAGEREF _Toc76826167 \h </w:instrText>
      </w:r>
      <w:r>
        <w:rPr>
          <w:sz w:val="28"/>
          <w:szCs w:val="28"/>
        </w:rPr>
        <w:fldChar w:fldCharType="separate"/>
      </w:r>
      <w:r>
        <w:rPr>
          <w:sz w:val="28"/>
          <w:szCs w:val="28"/>
        </w:rPr>
        <w:t>53</w:t>
      </w:r>
      <w:r>
        <w:rPr>
          <w:sz w:val="28"/>
          <w:szCs w:val="28"/>
        </w:rPr>
        <w:fldChar w:fldCharType="end"/>
      </w:r>
      <w:r>
        <w:rPr>
          <w:sz w:val="28"/>
          <w:szCs w:val="28"/>
        </w:rPr>
        <w:fldChar w:fldCharType="end"/>
      </w:r>
    </w:p>
    <w:p w14:paraId="53DD645D">
      <w:pPr>
        <w:pStyle w:val="5"/>
        <w:tabs>
          <w:tab w:val="right" w:leader="dot" w:pos="8296"/>
        </w:tabs>
        <w:rPr>
          <w:sz w:val="28"/>
          <w:szCs w:val="28"/>
        </w:rPr>
      </w:pPr>
      <w:r>
        <w:fldChar w:fldCharType="begin"/>
      </w:r>
      <w:r>
        <w:instrText xml:space="preserve"> HYPERLINK \l "_Toc76826168" </w:instrText>
      </w:r>
      <w:r>
        <w:fldChar w:fldCharType="separate"/>
      </w:r>
      <w:r>
        <w:rPr>
          <w:rStyle w:val="13"/>
          <w:rFonts w:ascii="仿宋_GB2312" w:hAnsi="Times New Roman" w:eastAsia="仿宋_GB2312"/>
          <w:sz w:val="28"/>
          <w:szCs w:val="28"/>
        </w:rPr>
        <w:t xml:space="preserve">2. </w:t>
      </w:r>
      <w:r>
        <w:rPr>
          <w:rStyle w:val="13"/>
          <w:rFonts w:hint="eastAsia" w:ascii="仿宋_GB2312" w:hAnsi="Times New Roman" w:eastAsia="仿宋_GB2312"/>
          <w:sz w:val="28"/>
          <w:szCs w:val="28"/>
        </w:rPr>
        <w:t>打造大湾区制造业创新发展试验区</w:t>
      </w:r>
      <w:r>
        <w:rPr>
          <w:sz w:val="28"/>
          <w:szCs w:val="28"/>
        </w:rPr>
        <w:tab/>
      </w:r>
      <w:r>
        <w:rPr>
          <w:sz w:val="28"/>
          <w:szCs w:val="28"/>
        </w:rPr>
        <w:fldChar w:fldCharType="begin"/>
      </w:r>
      <w:r>
        <w:rPr>
          <w:sz w:val="28"/>
          <w:szCs w:val="28"/>
        </w:rPr>
        <w:instrText xml:space="preserve"> PAGEREF _Toc76826168 \h </w:instrText>
      </w:r>
      <w:r>
        <w:rPr>
          <w:sz w:val="28"/>
          <w:szCs w:val="28"/>
        </w:rPr>
        <w:fldChar w:fldCharType="separate"/>
      </w:r>
      <w:r>
        <w:rPr>
          <w:sz w:val="28"/>
          <w:szCs w:val="28"/>
        </w:rPr>
        <w:t>54</w:t>
      </w:r>
      <w:r>
        <w:rPr>
          <w:sz w:val="28"/>
          <w:szCs w:val="28"/>
        </w:rPr>
        <w:fldChar w:fldCharType="end"/>
      </w:r>
      <w:r>
        <w:rPr>
          <w:sz w:val="28"/>
          <w:szCs w:val="28"/>
        </w:rPr>
        <w:fldChar w:fldCharType="end"/>
      </w:r>
    </w:p>
    <w:p w14:paraId="361102B6">
      <w:pPr>
        <w:pStyle w:val="5"/>
        <w:tabs>
          <w:tab w:val="right" w:leader="dot" w:pos="8296"/>
        </w:tabs>
        <w:rPr>
          <w:sz w:val="28"/>
          <w:szCs w:val="28"/>
        </w:rPr>
      </w:pPr>
      <w:r>
        <w:fldChar w:fldCharType="begin"/>
      </w:r>
      <w:r>
        <w:instrText xml:space="preserve"> HYPERLINK \l "_Toc76826169"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全力支持深圳先行示范区建设</w:t>
      </w:r>
      <w:r>
        <w:rPr>
          <w:sz w:val="28"/>
          <w:szCs w:val="28"/>
        </w:rPr>
        <w:tab/>
      </w:r>
      <w:r>
        <w:rPr>
          <w:sz w:val="28"/>
          <w:szCs w:val="28"/>
        </w:rPr>
        <w:fldChar w:fldCharType="begin"/>
      </w:r>
      <w:r>
        <w:rPr>
          <w:sz w:val="28"/>
          <w:szCs w:val="28"/>
        </w:rPr>
        <w:instrText xml:space="preserve"> PAGEREF _Toc76826169 \h </w:instrText>
      </w:r>
      <w:r>
        <w:rPr>
          <w:sz w:val="28"/>
          <w:szCs w:val="28"/>
        </w:rPr>
        <w:fldChar w:fldCharType="separate"/>
      </w:r>
      <w:r>
        <w:rPr>
          <w:sz w:val="28"/>
          <w:szCs w:val="28"/>
        </w:rPr>
        <w:t>54</w:t>
      </w:r>
      <w:r>
        <w:rPr>
          <w:sz w:val="28"/>
          <w:szCs w:val="28"/>
        </w:rPr>
        <w:fldChar w:fldCharType="end"/>
      </w:r>
      <w:r>
        <w:rPr>
          <w:sz w:val="28"/>
          <w:szCs w:val="28"/>
        </w:rPr>
        <w:fldChar w:fldCharType="end"/>
      </w:r>
    </w:p>
    <w:p w14:paraId="121A1468">
      <w:pPr>
        <w:pStyle w:val="8"/>
        <w:tabs>
          <w:tab w:val="right" w:leader="dot" w:pos="8296"/>
        </w:tabs>
        <w:rPr>
          <w:sz w:val="28"/>
          <w:szCs w:val="28"/>
        </w:rPr>
      </w:pPr>
      <w:r>
        <w:fldChar w:fldCharType="begin"/>
      </w:r>
      <w:r>
        <w:instrText xml:space="preserve"> HYPERLINK \l "_Toc76826170" </w:instrText>
      </w:r>
      <w:r>
        <w:fldChar w:fldCharType="separate"/>
      </w:r>
      <w:r>
        <w:rPr>
          <w:rStyle w:val="13"/>
          <w:rFonts w:hint="eastAsia" w:ascii="楷体_GB2312" w:hAnsi="仿宋" w:eastAsia="楷体_GB2312"/>
          <w:sz w:val="28"/>
          <w:szCs w:val="28"/>
        </w:rPr>
        <w:t>（二）积极推动构建“一核一带一区”区域发展新格局</w:t>
      </w:r>
      <w:r>
        <w:rPr>
          <w:sz w:val="28"/>
          <w:szCs w:val="28"/>
        </w:rPr>
        <w:tab/>
      </w:r>
      <w:r>
        <w:rPr>
          <w:sz w:val="28"/>
          <w:szCs w:val="28"/>
        </w:rPr>
        <w:fldChar w:fldCharType="begin"/>
      </w:r>
      <w:r>
        <w:rPr>
          <w:sz w:val="28"/>
          <w:szCs w:val="28"/>
        </w:rPr>
        <w:instrText xml:space="preserve"> PAGEREF _Toc76826170 \h </w:instrText>
      </w:r>
      <w:r>
        <w:rPr>
          <w:sz w:val="28"/>
          <w:szCs w:val="28"/>
        </w:rPr>
        <w:fldChar w:fldCharType="separate"/>
      </w:r>
      <w:r>
        <w:rPr>
          <w:sz w:val="28"/>
          <w:szCs w:val="28"/>
        </w:rPr>
        <w:t>55</w:t>
      </w:r>
      <w:r>
        <w:rPr>
          <w:sz w:val="28"/>
          <w:szCs w:val="28"/>
        </w:rPr>
        <w:fldChar w:fldCharType="end"/>
      </w:r>
      <w:r>
        <w:rPr>
          <w:sz w:val="28"/>
          <w:szCs w:val="28"/>
        </w:rPr>
        <w:fldChar w:fldCharType="end"/>
      </w:r>
    </w:p>
    <w:p w14:paraId="148E1F39">
      <w:pPr>
        <w:pStyle w:val="5"/>
        <w:tabs>
          <w:tab w:val="right" w:leader="dot" w:pos="8296"/>
        </w:tabs>
        <w:rPr>
          <w:sz w:val="28"/>
          <w:szCs w:val="28"/>
        </w:rPr>
      </w:pPr>
      <w:r>
        <w:fldChar w:fldCharType="begin"/>
      </w:r>
      <w:r>
        <w:instrText xml:space="preserve"> HYPERLINK \l "_Toc76826171"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推进广佛高质量融合发展试验区建设</w:t>
      </w:r>
      <w:r>
        <w:rPr>
          <w:sz w:val="28"/>
          <w:szCs w:val="28"/>
        </w:rPr>
        <w:tab/>
      </w:r>
      <w:r>
        <w:rPr>
          <w:sz w:val="28"/>
          <w:szCs w:val="28"/>
        </w:rPr>
        <w:fldChar w:fldCharType="begin"/>
      </w:r>
      <w:r>
        <w:rPr>
          <w:sz w:val="28"/>
          <w:szCs w:val="28"/>
        </w:rPr>
        <w:instrText xml:space="preserve"> PAGEREF _Toc76826171 \h </w:instrText>
      </w:r>
      <w:r>
        <w:rPr>
          <w:sz w:val="28"/>
          <w:szCs w:val="28"/>
        </w:rPr>
        <w:fldChar w:fldCharType="separate"/>
      </w:r>
      <w:r>
        <w:rPr>
          <w:sz w:val="28"/>
          <w:szCs w:val="28"/>
        </w:rPr>
        <w:t>55</w:t>
      </w:r>
      <w:r>
        <w:rPr>
          <w:sz w:val="28"/>
          <w:szCs w:val="28"/>
        </w:rPr>
        <w:fldChar w:fldCharType="end"/>
      </w:r>
      <w:r>
        <w:rPr>
          <w:sz w:val="28"/>
          <w:szCs w:val="28"/>
        </w:rPr>
        <w:fldChar w:fldCharType="end"/>
      </w:r>
    </w:p>
    <w:p w14:paraId="211F20CC">
      <w:pPr>
        <w:pStyle w:val="5"/>
        <w:tabs>
          <w:tab w:val="right" w:leader="dot" w:pos="8296"/>
        </w:tabs>
        <w:rPr>
          <w:sz w:val="28"/>
          <w:szCs w:val="28"/>
        </w:rPr>
      </w:pPr>
      <w:r>
        <w:fldChar w:fldCharType="begin"/>
      </w:r>
      <w:r>
        <w:instrText xml:space="preserve"> HYPERLINK \l "_Toc76826172"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强化广清产业协同发展</w:t>
      </w:r>
      <w:r>
        <w:rPr>
          <w:sz w:val="28"/>
          <w:szCs w:val="28"/>
        </w:rPr>
        <w:tab/>
      </w:r>
      <w:r>
        <w:rPr>
          <w:sz w:val="28"/>
          <w:szCs w:val="28"/>
        </w:rPr>
        <w:fldChar w:fldCharType="begin"/>
      </w:r>
      <w:r>
        <w:rPr>
          <w:sz w:val="28"/>
          <w:szCs w:val="28"/>
        </w:rPr>
        <w:instrText xml:space="preserve"> PAGEREF _Toc76826172 \h </w:instrText>
      </w:r>
      <w:r>
        <w:rPr>
          <w:sz w:val="28"/>
          <w:szCs w:val="28"/>
        </w:rPr>
        <w:fldChar w:fldCharType="separate"/>
      </w:r>
      <w:r>
        <w:rPr>
          <w:sz w:val="28"/>
          <w:szCs w:val="28"/>
        </w:rPr>
        <w:t>55</w:t>
      </w:r>
      <w:r>
        <w:rPr>
          <w:sz w:val="28"/>
          <w:szCs w:val="28"/>
        </w:rPr>
        <w:fldChar w:fldCharType="end"/>
      </w:r>
      <w:r>
        <w:rPr>
          <w:sz w:val="28"/>
          <w:szCs w:val="28"/>
        </w:rPr>
        <w:fldChar w:fldCharType="end"/>
      </w:r>
    </w:p>
    <w:p w14:paraId="60EA138F">
      <w:pPr>
        <w:pStyle w:val="8"/>
        <w:tabs>
          <w:tab w:val="right" w:leader="dot" w:pos="8296"/>
        </w:tabs>
        <w:rPr>
          <w:sz w:val="28"/>
          <w:szCs w:val="28"/>
        </w:rPr>
      </w:pPr>
      <w:r>
        <w:fldChar w:fldCharType="begin"/>
      </w:r>
      <w:r>
        <w:instrText xml:space="preserve"> HYPERLINK \l "_Toc76826173" </w:instrText>
      </w:r>
      <w:r>
        <w:fldChar w:fldCharType="separate"/>
      </w:r>
      <w:r>
        <w:rPr>
          <w:rStyle w:val="13"/>
          <w:rFonts w:hint="eastAsia" w:ascii="楷体_GB2312" w:hAnsi="仿宋" w:eastAsia="楷体_GB2312"/>
          <w:sz w:val="28"/>
          <w:szCs w:val="28"/>
        </w:rPr>
        <w:t>（三）</w:t>
      </w:r>
      <w:r>
        <w:rPr>
          <w:rStyle w:val="13"/>
          <w:rFonts w:hint="eastAsia" w:ascii="仿宋_GB2312" w:hAnsi="Times New Roman" w:eastAsia="仿宋_GB2312"/>
          <w:sz w:val="28"/>
          <w:szCs w:val="28"/>
        </w:rPr>
        <w:t>加强与中新知识城制造业协同发展</w:t>
      </w:r>
      <w:r>
        <w:rPr>
          <w:sz w:val="28"/>
          <w:szCs w:val="28"/>
        </w:rPr>
        <w:tab/>
      </w:r>
      <w:r>
        <w:rPr>
          <w:sz w:val="28"/>
          <w:szCs w:val="28"/>
        </w:rPr>
        <w:fldChar w:fldCharType="begin"/>
      </w:r>
      <w:r>
        <w:rPr>
          <w:sz w:val="28"/>
          <w:szCs w:val="28"/>
        </w:rPr>
        <w:instrText xml:space="preserve"> PAGEREF _Toc76826173 \h </w:instrText>
      </w:r>
      <w:r>
        <w:rPr>
          <w:sz w:val="28"/>
          <w:szCs w:val="28"/>
        </w:rPr>
        <w:fldChar w:fldCharType="separate"/>
      </w:r>
      <w:r>
        <w:rPr>
          <w:sz w:val="28"/>
          <w:szCs w:val="28"/>
        </w:rPr>
        <w:t>55</w:t>
      </w:r>
      <w:r>
        <w:rPr>
          <w:sz w:val="28"/>
          <w:szCs w:val="28"/>
        </w:rPr>
        <w:fldChar w:fldCharType="end"/>
      </w:r>
      <w:r>
        <w:rPr>
          <w:sz w:val="28"/>
          <w:szCs w:val="28"/>
        </w:rPr>
        <w:fldChar w:fldCharType="end"/>
      </w:r>
    </w:p>
    <w:p w14:paraId="53BF38DB">
      <w:pPr>
        <w:pStyle w:val="5"/>
        <w:tabs>
          <w:tab w:val="right" w:leader="dot" w:pos="8296"/>
        </w:tabs>
        <w:rPr>
          <w:sz w:val="28"/>
          <w:szCs w:val="28"/>
        </w:rPr>
      </w:pPr>
      <w:r>
        <w:fldChar w:fldCharType="begin"/>
      </w:r>
      <w:r>
        <w:instrText xml:space="preserve"> HYPERLINK \l "_Toc76826174" </w:instrText>
      </w:r>
      <w:r>
        <w:fldChar w:fldCharType="separate"/>
      </w:r>
      <w:r>
        <w:rPr>
          <w:rStyle w:val="13"/>
          <w:rFonts w:ascii="仿宋_GB2312" w:hAnsi="Times New Roman" w:eastAsia="仿宋_GB2312"/>
          <w:sz w:val="28"/>
          <w:szCs w:val="28"/>
        </w:rPr>
        <w:t>1.</w:t>
      </w:r>
      <w:r>
        <w:rPr>
          <w:rStyle w:val="13"/>
          <w:rFonts w:hint="eastAsia" w:ascii="仿宋" w:hAnsi="仿宋" w:eastAsia="仿宋" w:cs="Times New Roman"/>
          <w:sz w:val="28"/>
          <w:szCs w:val="28"/>
        </w:rPr>
        <w:t>承接共建智能制造产业</w:t>
      </w:r>
      <w:r>
        <w:rPr>
          <w:sz w:val="28"/>
          <w:szCs w:val="28"/>
        </w:rPr>
        <w:tab/>
      </w:r>
      <w:r>
        <w:rPr>
          <w:sz w:val="28"/>
          <w:szCs w:val="28"/>
        </w:rPr>
        <w:fldChar w:fldCharType="begin"/>
      </w:r>
      <w:r>
        <w:rPr>
          <w:sz w:val="28"/>
          <w:szCs w:val="28"/>
        </w:rPr>
        <w:instrText xml:space="preserve"> PAGEREF _Toc76826174 \h </w:instrText>
      </w:r>
      <w:r>
        <w:rPr>
          <w:sz w:val="28"/>
          <w:szCs w:val="28"/>
        </w:rPr>
        <w:fldChar w:fldCharType="separate"/>
      </w:r>
      <w:r>
        <w:rPr>
          <w:sz w:val="28"/>
          <w:szCs w:val="28"/>
        </w:rPr>
        <w:t>55</w:t>
      </w:r>
      <w:r>
        <w:rPr>
          <w:sz w:val="28"/>
          <w:szCs w:val="28"/>
        </w:rPr>
        <w:fldChar w:fldCharType="end"/>
      </w:r>
      <w:r>
        <w:rPr>
          <w:sz w:val="28"/>
          <w:szCs w:val="28"/>
        </w:rPr>
        <w:fldChar w:fldCharType="end"/>
      </w:r>
    </w:p>
    <w:p w14:paraId="3B45145D">
      <w:pPr>
        <w:pStyle w:val="5"/>
        <w:tabs>
          <w:tab w:val="right" w:leader="dot" w:pos="8296"/>
        </w:tabs>
        <w:rPr>
          <w:sz w:val="28"/>
          <w:szCs w:val="28"/>
        </w:rPr>
      </w:pPr>
      <w:r>
        <w:fldChar w:fldCharType="begin"/>
      </w:r>
      <w:r>
        <w:instrText xml:space="preserve"> HYPERLINK \l "_Toc76826175"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加强生物医药产业合作</w:t>
      </w:r>
      <w:r>
        <w:rPr>
          <w:sz w:val="28"/>
          <w:szCs w:val="28"/>
        </w:rPr>
        <w:tab/>
      </w:r>
      <w:r>
        <w:rPr>
          <w:sz w:val="28"/>
          <w:szCs w:val="28"/>
        </w:rPr>
        <w:fldChar w:fldCharType="begin"/>
      </w:r>
      <w:r>
        <w:rPr>
          <w:sz w:val="28"/>
          <w:szCs w:val="28"/>
        </w:rPr>
        <w:instrText xml:space="preserve"> PAGEREF _Toc76826175 \h </w:instrText>
      </w:r>
      <w:r>
        <w:rPr>
          <w:sz w:val="28"/>
          <w:szCs w:val="28"/>
        </w:rPr>
        <w:fldChar w:fldCharType="separate"/>
      </w:r>
      <w:r>
        <w:rPr>
          <w:sz w:val="28"/>
          <w:szCs w:val="28"/>
        </w:rPr>
        <w:t>56</w:t>
      </w:r>
      <w:r>
        <w:rPr>
          <w:sz w:val="28"/>
          <w:szCs w:val="28"/>
        </w:rPr>
        <w:fldChar w:fldCharType="end"/>
      </w:r>
      <w:r>
        <w:rPr>
          <w:sz w:val="28"/>
          <w:szCs w:val="28"/>
        </w:rPr>
        <w:fldChar w:fldCharType="end"/>
      </w:r>
    </w:p>
    <w:p w14:paraId="3D389146">
      <w:pPr>
        <w:pStyle w:val="5"/>
        <w:tabs>
          <w:tab w:val="right" w:leader="dot" w:pos="8296"/>
        </w:tabs>
        <w:rPr>
          <w:sz w:val="28"/>
          <w:szCs w:val="28"/>
        </w:rPr>
      </w:pPr>
      <w:r>
        <w:fldChar w:fldCharType="begin"/>
      </w:r>
      <w:r>
        <w:instrText xml:space="preserve"> HYPERLINK \l "_Toc76826176"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强化数字经济合作</w:t>
      </w:r>
      <w:r>
        <w:rPr>
          <w:sz w:val="28"/>
          <w:szCs w:val="28"/>
        </w:rPr>
        <w:tab/>
      </w:r>
      <w:r>
        <w:rPr>
          <w:sz w:val="28"/>
          <w:szCs w:val="28"/>
        </w:rPr>
        <w:fldChar w:fldCharType="begin"/>
      </w:r>
      <w:r>
        <w:rPr>
          <w:sz w:val="28"/>
          <w:szCs w:val="28"/>
        </w:rPr>
        <w:instrText xml:space="preserve"> PAGEREF _Toc76826176 \h </w:instrText>
      </w:r>
      <w:r>
        <w:rPr>
          <w:sz w:val="28"/>
          <w:szCs w:val="28"/>
        </w:rPr>
        <w:fldChar w:fldCharType="separate"/>
      </w:r>
      <w:r>
        <w:rPr>
          <w:sz w:val="28"/>
          <w:szCs w:val="28"/>
        </w:rPr>
        <w:t>56</w:t>
      </w:r>
      <w:r>
        <w:rPr>
          <w:sz w:val="28"/>
          <w:szCs w:val="28"/>
        </w:rPr>
        <w:fldChar w:fldCharType="end"/>
      </w:r>
      <w:r>
        <w:rPr>
          <w:sz w:val="28"/>
          <w:szCs w:val="28"/>
        </w:rPr>
        <w:fldChar w:fldCharType="end"/>
      </w:r>
    </w:p>
    <w:p w14:paraId="252E0133">
      <w:pPr>
        <w:pStyle w:val="8"/>
        <w:tabs>
          <w:tab w:val="right" w:leader="dot" w:pos="8296"/>
        </w:tabs>
        <w:rPr>
          <w:sz w:val="28"/>
          <w:szCs w:val="28"/>
        </w:rPr>
      </w:pPr>
      <w:r>
        <w:fldChar w:fldCharType="begin"/>
      </w:r>
      <w:r>
        <w:instrText xml:space="preserve"> HYPERLINK \l "_Toc76826177" </w:instrText>
      </w:r>
      <w:r>
        <w:fldChar w:fldCharType="separate"/>
      </w:r>
      <w:r>
        <w:rPr>
          <w:rStyle w:val="13"/>
          <w:rFonts w:hint="eastAsia" w:ascii="楷体_GB2312" w:hAnsi="仿宋" w:eastAsia="楷体_GB2312"/>
          <w:sz w:val="28"/>
          <w:szCs w:val="28"/>
        </w:rPr>
        <w:t>（四）加大与国际社会合作力度</w:t>
      </w:r>
      <w:r>
        <w:rPr>
          <w:sz w:val="28"/>
          <w:szCs w:val="28"/>
        </w:rPr>
        <w:tab/>
      </w:r>
      <w:r>
        <w:rPr>
          <w:sz w:val="28"/>
          <w:szCs w:val="28"/>
        </w:rPr>
        <w:fldChar w:fldCharType="begin"/>
      </w:r>
      <w:r>
        <w:rPr>
          <w:sz w:val="28"/>
          <w:szCs w:val="28"/>
        </w:rPr>
        <w:instrText xml:space="preserve"> PAGEREF _Toc76826177 \h </w:instrText>
      </w:r>
      <w:r>
        <w:rPr>
          <w:sz w:val="28"/>
          <w:szCs w:val="28"/>
        </w:rPr>
        <w:fldChar w:fldCharType="separate"/>
      </w:r>
      <w:r>
        <w:rPr>
          <w:sz w:val="28"/>
          <w:szCs w:val="28"/>
        </w:rPr>
        <w:t>56</w:t>
      </w:r>
      <w:r>
        <w:rPr>
          <w:sz w:val="28"/>
          <w:szCs w:val="28"/>
        </w:rPr>
        <w:fldChar w:fldCharType="end"/>
      </w:r>
      <w:r>
        <w:rPr>
          <w:sz w:val="28"/>
          <w:szCs w:val="28"/>
        </w:rPr>
        <w:fldChar w:fldCharType="end"/>
      </w:r>
    </w:p>
    <w:p w14:paraId="620684C2">
      <w:pPr>
        <w:pStyle w:val="5"/>
        <w:tabs>
          <w:tab w:val="right" w:leader="dot" w:pos="8296"/>
        </w:tabs>
        <w:rPr>
          <w:sz w:val="28"/>
          <w:szCs w:val="28"/>
        </w:rPr>
      </w:pPr>
      <w:r>
        <w:fldChar w:fldCharType="begin"/>
      </w:r>
      <w:r>
        <w:instrText xml:space="preserve"> HYPERLINK \l "_Toc76826178"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推动形成全面开放新格局</w:t>
      </w:r>
      <w:r>
        <w:rPr>
          <w:sz w:val="28"/>
          <w:szCs w:val="28"/>
        </w:rPr>
        <w:tab/>
      </w:r>
      <w:r>
        <w:rPr>
          <w:sz w:val="28"/>
          <w:szCs w:val="28"/>
        </w:rPr>
        <w:fldChar w:fldCharType="begin"/>
      </w:r>
      <w:r>
        <w:rPr>
          <w:sz w:val="28"/>
          <w:szCs w:val="28"/>
        </w:rPr>
        <w:instrText xml:space="preserve"> PAGEREF _Toc76826178 \h </w:instrText>
      </w:r>
      <w:r>
        <w:rPr>
          <w:sz w:val="28"/>
          <w:szCs w:val="28"/>
        </w:rPr>
        <w:fldChar w:fldCharType="separate"/>
      </w:r>
      <w:r>
        <w:rPr>
          <w:sz w:val="28"/>
          <w:szCs w:val="28"/>
        </w:rPr>
        <w:t>56</w:t>
      </w:r>
      <w:r>
        <w:rPr>
          <w:sz w:val="28"/>
          <w:szCs w:val="28"/>
        </w:rPr>
        <w:fldChar w:fldCharType="end"/>
      </w:r>
      <w:r>
        <w:rPr>
          <w:sz w:val="28"/>
          <w:szCs w:val="28"/>
        </w:rPr>
        <w:fldChar w:fldCharType="end"/>
      </w:r>
    </w:p>
    <w:p w14:paraId="69F4F31F">
      <w:pPr>
        <w:pStyle w:val="5"/>
        <w:tabs>
          <w:tab w:val="right" w:leader="dot" w:pos="8296"/>
        </w:tabs>
        <w:rPr>
          <w:sz w:val="28"/>
          <w:szCs w:val="28"/>
        </w:rPr>
      </w:pPr>
      <w:r>
        <w:fldChar w:fldCharType="begin"/>
      </w:r>
      <w:r>
        <w:instrText xml:space="preserve"> HYPERLINK \l "_Toc76826179"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加快融入全球产业链和价值链</w:t>
      </w:r>
      <w:r>
        <w:rPr>
          <w:sz w:val="28"/>
          <w:szCs w:val="28"/>
        </w:rPr>
        <w:tab/>
      </w:r>
      <w:r>
        <w:rPr>
          <w:sz w:val="28"/>
          <w:szCs w:val="28"/>
        </w:rPr>
        <w:fldChar w:fldCharType="begin"/>
      </w:r>
      <w:r>
        <w:rPr>
          <w:sz w:val="28"/>
          <w:szCs w:val="28"/>
        </w:rPr>
        <w:instrText xml:space="preserve"> PAGEREF _Toc76826179 \h </w:instrText>
      </w:r>
      <w:r>
        <w:rPr>
          <w:sz w:val="28"/>
          <w:szCs w:val="28"/>
        </w:rPr>
        <w:fldChar w:fldCharType="separate"/>
      </w:r>
      <w:r>
        <w:rPr>
          <w:sz w:val="28"/>
          <w:szCs w:val="28"/>
        </w:rPr>
        <w:t>57</w:t>
      </w:r>
      <w:r>
        <w:rPr>
          <w:sz w:val="28"/>
          <w:szCs w:val="28"/>
        </w:rPr>
        <w:fldChar w:fldCharType="end"/>
      </w:r>
      <w:r>
        <w:rPr>
          <w:sz w:val="28"/>
          <w:szCs w:val="28"/>
        </w:rPr>
        <w:fldChar w:fldCharType="end"/>
      </w:r>
    </w:p>
    <w:p w14:paraId="2C2C0CD2">
      <w:pPr>
        <w:pStyle w:val="5"/>
        <w:tabs>
          <w:tab w:val="right" w:leader="dot" w:pos="8296"/>
        </w:tabs>
        <w:rPr>
          <w:sz w:val="28"/>
          <w:szCs w:val="28"/>
        </w:rPr>
      </w:pPr>
      <w:r>
        <w:fldChar w:fldCharType="begin"/>
      </w:r>
      <w:r>
        <w:instrText xml:space="preserve"> HYPERLINK \l "_Toc76826180" </w:instrText>
      </w:r>
      <w:r>
        <w:fldChar w:fldCharType="separate"/>
      </w:r>
      <w:r>
        <w:rPr>
          <w:rStyle w:val="13"/>
          <w:rFonts w:ascii="仿宋_GB2312" w:hAnsi="Times New Roman" w:eastAsia="仿宋_GB2312"/>
          <w:sz w:val="28"/>
          <w:szCs w:val="28"/>
        </w:rPr>
        <w:t>3.</w:t>
      </w:r>
      <w:r>
        <w:rPr>
          <w:rStyle w:val="13"/>
          <w:rFonts w:hint="eastAsia" w:ascii="仿宋_GB2312" w:hAnsi="Times New Roman" w:eastAsia="仿宋_GB2312"/>
          <w:sz w:val="28"/>
          <w:szCs w:val="28"/>
        </w:rPr>
        <w:t>加强海外拓展</w:t>
      </w:r>
      <w:r>
        <w:rPr>
          <w:sz w:val="28"/>
          <w:szCs w:val="28"/>
        </w:rPr>
        <w:tab/>
      </w:r>
      <w:r>
        <w:rPr>
          <w:sz w:val="28"/>
          <w:szCs w:val="28"/>
        </w:rPr>
        <w:fldChar w:fldCharType="begin"/>
      </w:r>
      <w:r>
        <w:rPr>
          <w:sz w:val="28"/>
          <w:szCs w:val="28"/>
        </w:rPr>
        <w:instrText xml:space="preserve"> PAGEREF _Toc76826180 \h </w:instrText>
      </w:r>
      <w:r>
        <w:rPr>
          <w:sz w:val="28"/>
          <w:szCs w:val="28"/>
        </w:rPr>
        <w:fldChar w:fldCharType="separate"/>
      </w:r>
      <w:r>
        <w:rPr>
          <w:sz w:val="28"/>
          <w:szCs w:val="28"/>
        </w:rPr>
        <w:t>57</w:t>
      </w:r>
      <w:r>
        <w:rPr>
          <w:sz w:val="28"/>
          <w:szCs w:val="28"/>
        </w:rPr>
        <w:fldChar w:fldCharType="end"/>
      </w:r>
      <w:r>
        <w:rPr>
          <w:sz w:val="28"/>
          <w:szCs w:val="28"/>
        </w:rPr>
        <w:fldChar w:fldCharType="end"/>
      </w:r>
    </w:p>
    <w:p w14:paraId="1BF401C9">
      <w:pPr>
        <w:pStyle w:val="7"/>
        <w:tabs>
          <w:tab w:val="right" w:leader="dot" w:pos="8296"/>
        </w:tabs>
        <w:rPr>
          <w:sz w:val="28"/>
          <w:szCs w:val="28"/>
        </w:rPr>
      </w:pPr>
      <w:r>
        <w:fldChar w:fldCharType="begin"/>
      </w:r>
      <w:r>
        <w:instrText xml:space="preserve"> HYPERLINK \l "_Toc76826181" </w:instrText>
      </w:r>
      <w:r>
        <w:fldChar w:fldCharType="separate"/>
      </w:r>
      <w:r>
        <w:rPr>
          <w:rStyle w:val="13"/>
          <w:rFonts w:hint="eastAsia" w:ascii="黑体" w:hAnsi="黑体" w:eastAsia="黑体"/>
          <w:sz w:val="28"/>
          <w:szCs w:val="28"/>
        </w:rPr>
        <w:t>九、强化要素支撑</w:t>
      </w:r>
      <w:r>
        <w:rPr>
          <w:sz w:val="28"/>
          <w:szCs w:val="28"/>
        </w:rPr>
        <w:tab/>
      </w:r>
      <w:r>
        <w:rPr>
          <w:sz w:val="28"/>
          <w:szCs w:val="28"/>
        </w:rPr>
        <w:fldChar w:fldCharType="begin"/>
      </w:r>
      <w:r>
        <w:rPr>
          <w:sz w:val="28"/>
          <w:szCs w:val="28"/>
        </w:rPr>
        <w:instrText xml:space="preserve"> PAGEREF _Toc76826181 \h </w:instrText>
      </w:r>
      <w:r>
        <w:rPr>
          <w:sz w:val="28"/>
          <w:szCs w:val="28"/>
        </w:rPr>
        <w:fldChar w:fldCharType="separate"/>
      </w:r>
      <w:r>
        <w:rPr>
          <w:sz w:val="28"/>
          <w:szCs w:val="28"/>
        </w:rPr>
        <w:t>58</w:t>
      </w:r>
      <w:r>
        <w:rPr>
          <w:sz w:val="28"/>
          <w:szCs w:val="28"/>
        </w:rPr>
        <w:fldChar w:fldCharType="end"/>
      </w:r>
      <w:r>
        <w:rPr>
          <w:sz w:val="28"/>
          <w:szCs w:val="28"/>
        </w:rPr>
        <w:fldChar w:fldCharType="end"/>
      </w:r>
    </w:p>
    <w:p w14:paraId="002A46C6">
      <w:pPr>
        <w:pStyle w:val="8"/>
        <w:tabs>
          <w:tab w:val="right" w:leader="dot" w:pos="8296"/>
        </w:tabs>
        <w:rPr>
          <w:sz w:val="28"/>
          <w:szCs w:val="28"/>
        </w:rPr>
      </w:pPr>
      <w:r>
        <w:fldChar w:fldCharType="begin"/>
      </w:r>
      <w:r>
        <w:instrText xml:space="preserve"> HYPERLINK \l "_Toc76826182" </w:instrText>
      </w:r>
      <w:r>
        <w:fldChar w:fldCharType="separate"/>
      </w:r>
      <w:r>
        <w:rPr>
          <w:rStyle w:val="13"/>
          <w:rFonts w:hint="eastAsia" w:ascii="楷体_GB2312" w:hAnsi="仿宋" w:eastAsia="楷体_GB2312"/>
          <w:sz w:val="28"/>
          <w:szCs w:val="28"/>
        </w:rPr>
        <w:t>（一）加大财税支持力度</w:t>
      </w:r>
      <w:r>
        <w:rPr>
          <w:sz w:val="28"/>
          <w:szCs w:val="28"/>
        </w:rPr>
        <w:tab/>
      </w:r>
      <w:r>
        <w:rPr>
          <w:sz w:val="28"/>
          <w:szCs w:val="28"/>
        </w:rPr>
        <w:fldChar w:fldCharType="begin"/>
      </w:r>
      <w:r>
        <w:rPr>
          <w:sz w:val="28"/>
          <w:szCs w:val="28"/>
        </w:rPr>
        <w:instrText xml:space="preserve"> PAGEREF _Toc76826182 \h </w:instrText>
      </w:r>
      <w:r>
        <w:rPr>
          <w:sz w:val="28"/>
          <w:szCs w:val="28"/>
        </w:rPr>
        <w:fldChar w:fldCharType="separate"/>
      </w:r>
      <w:r>
        <w:rPr>
          <w:sz w:val="28"/>
          <w:szCs w:val="28"/>
        </w:rPr>
        <w:t>58</w:t>
      </w:r>
      <w:r>
        <w:rPr>
          <w:sz w:val="28"/>
          <w:szCs w:val="28"/>
        </w:rPr>
        <w:fldChar w:fldCharType="end"/>
      </w:r>
      <w:r>
        <w:rPr>
          <w:sz w:val="28"/>
          <w:szCs w:val="28"/>
        </w:rPr>
        <w:fldChar w:fldCharType="end"/>
      </w:r>
    </w:p>
    <w:p w14:paraId="11BD636B">
      <w:pPr>
        <w:pStyle w:val="8"/>
        <w:tabs>
          <w:tab w:val="right" w:leader="dot" w:pos="8296"/>
        </w:tabs>
        <w:rPr>
          <w:sz w:val="28"/>
          <w:szCs w:val="28"/>
        </w:rPr>
      </w:pPr>
      <w:r>
        <w:fldChar w:fldCharType="begin"/>
      </w:r>
      <w:r>
        <w:instrText xml:space="preserve"> HYPERLINK \l "_Toc76826183" </w:instrText>
      </w:r>
      <w:r>
        <w:fldChar w:fldCharType="separate"/>
      </w:r>
      <w:r>
        <w:rPr>
          <w:rStyle w:val="13"/>
          <w:rFonts w:hint="eastAsia" w:ascii="楷体_GB2312" w:hAnsi="仿宋" w:eastAsia="楷体_GB2312"/>
          <w:sz w:val="28"/>
          <w:szCs w:val="28"/>
        </w:rPr>
        <w:t>（二）提升绿色金融服务制造业能力</w:t>
      </w:r>
      <w:r>
        <w:rPr>
          <w:sz w:val="28"/>
          <w:szCs w:val="28"/>
        </w:rPr>
        <w:tab/>
      </w:r>
      <w:r>
        <w:rPr>
          <w:sz w:val="28"/>
          <w:szCs w:val="28"/>
        </w:rPr>
        <w:fldChar w:fldCharType="begin"/>
      </w:r>
      <w:r>
        <w:rPr>
          <w:sz w:val="28"/>
          <w:szCs w:val="28"/>
        </w:rPr>
        <w:instrText xml:space="preserve"> PAGEREF _Toc76826183 \h </w:instrText>
      </w:r>
      <w:r>
        <w:rPr>
          <w:sz w:val="28"/>
          <w:szCs w:val="28"/>
        </w:rPr>
        <w:fldChar w:fldCharType="separate"/>
      </w:r>
      <w:r>
        <w:rPr>
          <w:sz w:val="28"/>
          <w:szCs w:val="28"/>
        </w:rPr>
        <w:t>59</w:t>
      </w:r>
      <w:r>
        <w:rPr>
          <w:sz w:val="28"/>
          <w:szCs w:val="28"/>
        </w:rPr>
        <w:fldChar w:fldCharType="end"/>
      </w:r>
      <w:r>
        <w:rPr>
          <w:sz w:val="28"/>
          <w:szCs w:val="28"/>
        </w:rPr>
        <w:fldChar w:fldCharType="end"/>
      </w:r>
    </w:p>
    <w:p w14:paraId="2D483440">
      <w:pPr>
        <w:pStyle w:val="8"/>
        <w:tabs>
          <w:tab w:val="right" w:leader="dot" w:pos="8296"/>
        </w:tabs>
        <w:rPr>
          <w:sz w:val="28"/>
          <w:szCs w:val="28"/>
        </w:rPr>
      </w:pPr>
      <w:r>
        <w:fldChar w:fldCharType="begin"/>
      </w:r>
      <w:r>
        <w:instrText xml:space="preserve"> HYPERLINK \l "_Toc76826184" </w:instrText>
      </w:r>
      <w:r>
        <w:fldChar w:fldCharType="separate"/>
      </w:r>
      <w:r>
        <w:rPr>
          <w:rStyle w:val="13"/>
          <w:rFonts w:hint="eastAsia" w:ascii="楷体_GB2312" w:hAnsi="仿宋" w:eastAsia="楷体_GB2312"/>
          <w:sz w:val="28"/>
          <w:szCs w:val="28"/>
        </w:rPr>
        <w:t>（三）创新招商引资方式</w:t>
      </w:r>
      <w:r>
        <w:rPr>
          <w:sz w:val="28"/>
          <w:szCs w:val="28"/>
        </w:rPr>
        <w:tab/>
      </w:r>
      <w:r>
        <w:rPr>
          <w:sz w:val="28"/>
          <w:szCs w:val="28"/>
        </w:rPr>
        <w:fldChar w:fldCharType="begin"/>
      </w:r>
      <w:r>
        <w:rPr>
          <w:sz w:val="28"/>
          <w:szCs w:val="28"/>
        </w:rPr>
        <w:instrText xml:space="preserve"> PAGEREF _Toc76826184 \h </w:instrText>
      </w:r>
      <w:r>
        <w:rPr>
          <w:sz w:val="28"/>
          <w:szCs w:val="28"/>
        </w:rPr>
        <w:fldChar w:fldCharType="separate"/>
      </w:r>
      <w:r>
        <w:rPr>
          <w:sz w:val="28"/>
          <w:szCs w:val="28"/>
        </w:rPr>
        <w:t>59</w:t>
      </w:r>
      <w:r>
        <w:rPr>
          <w:sz w:val="28"/>
          <w:szCs w:val="28"/>
        </w:rPr>
        <w:fldChar w:fldCharType="end"/>
      </w:r>
      <w:r>
        <w:rPr>
          <w:sz w:val="28"/>
          <w:szCs w:val="28"/>
        </w:rPr>
        <w:fldChar w:fldCharType="end"/>
      </w:r>
    </w:p>
    <w:p w14:paraId="7CABEDB4">
      <w:pPr>
        <w:pStyle w:val="8"/>
        <w:tabs>
          <w:tab w:val="right" w:leader="dot" w:pos="8296"/>
        </w:tabs>
        <w:rPr>
          <w:sz w:val="28"/>
          <w:szCs w:val="28"/>
        </w:rPr>
      </w:pPr>
      <w:r>
        <w:fldChar w:fldCharType="begin"/>
      </w:r>
      <w:r>
        <w:instrText xml:space="preserve"> HYPERLINK \l "_Toc76826185" </w:instrText>
      </w:r>
      <w:r>
        <w:fldChar w:fldCharType="separate"/>
      </w:r>
      <w:r>
        <w:rPr>
          <w:rStyle w:val="13"/>
          <w:rFonts w:hint="eastAsia" w:ascii="楷体_GB2312" w:hAnsi="仿宋" w:eastAsia="楷体_GB2312"/>
          <w:sz w:val="28"/>
          <w:szCs w:val="28"/>
        </w:rPr>
        <w:t>（四）保障项目用地需求</w:t>
      </w:r>
      <w:r>
        <w:rPr>
          <w:sz w:val="28"/>
          <w:szCs w:val="28"/>
        </w:rPr>
        <w:tab/>
      </w:r>
      <w:r>
        <w:rPr>
          <w:sz w:val="28"/>
          <w:szCs w:val="28"/>
        </w:rPr>
        <w:fldChar w:fldCharType="begin"/>
      </w:r>
      <w:r>
        <w:rPr>
          <w:sz w:val="28"/>
          <w:szCs w:val="28"/>
        </w:rPr>
        <w:instrText xml:space="preserve"> PAGEREF _Toc76826185 \h </w:instrText>
      </w:r>
      <w:r>
        <w:rPr>
          <w:sz w:val="28"/>
          <w:szCs w:val="28"/>
        </w:rPr>
        <w:fldChar w:fldCharType="separate"/>
      </w:r>
      <w:r>
        <w:rPr>
          <w:sz w:val="28"/>
          <w:szCs w:val="28"/>
        </w:rPr>
        <w:t>60</w:t>
      </w:r>
      <w:r>
        <w:rPr>
          <w:sz w:val="28"/>
          <w:szCs w:val="28"/>
        </w:rPr>
        <w:fldChar w:fldCharType="end"/>
      </w:r>
      <w:r>
        <w:rPr>
          <w:sz w:val="28"/>
          <w:szCs w:val="28"/>
        </w:rPr>
        <w:fldChar w:fldCharType="end"/>
      </w:r>
    </w:p>
    <w:p w14:paraId="44DF5E77">
      <w:pPr>
        <w:pStyle w:val="8"/>
        <w:tabs>
          <w:tab w:val="right" w:leader="dot" w:pos="8296"/>
        </w:tabs>
        <w:rPr>
          <w:sz w:val="28"/>
          <w:szCs w:val="28"/>
        </w:rPr>
      </w:pPr>
      <w:r>
        <w:fldChar w:fldCharType="begin"/>
      </w:r>
      <w:r>
        <w:instrText xml:space="preserve"> HYPERLINK \l "_Toc76826186" </w:instrText>
      </w:r>
      <w:r>
        <w:fldChar w:fldCharType="separate"/>
      </w:r>
      <w:r>
        <w:rPr>
          <w:rStyle w:val="13"/>
          <w:rFonts w:hint="eastAsia" w:ascii="楷体_GB2312" w:hAnsi="仿宋" w:eastAsia="楷体_GB2312"/>
          <w:sz w:val="28"/>
          <w:szCs w:val="28"/>
        </w:rPr>
        <w:t>（五）集聚先进制造人才</w:t>
      </w:r>
      <w:r>
        <w:rPr>
          <w:sz w:val="28"/>
          <w:szCs w:val="28"/>
        </w:rPr>
        <w:tab/>
      </w:r>
      <w:r>
        <w:rPr>
          <w:sz w:val="28"/>
          <w:szCs w:val="28"/>
        </w:rPr>
        <w:fldChar w:fldCharType="begin"/>
      </w:r>
      <w:r>
        <w:rPr>
          <w:sz w:val="28"/>
          <w:szCs w:val="28"/>
        </w:rPr>
        <w:instrText xml:space="preserve"> PAGEREF _Toc76826186 \h </w:instrText>
      </w:r>
      <w:r>
        <w:rPr>
          <w:sz w:val="28"/>
          <w:szCs w:val="28"/>
        </w:rPr>
        <w:fldChar w:fldCharType="separate"/>
      </w:r>
      <w:r>
        <w:rPr>
          <w:sz w:val="28"/>
          <w:szCs w:val="28"/>
        </w:rPr>
        <w:t>61</w:t>
      </w:r>
      <w:r>
        <w:rPr>
          <w:sz w:val="28"/>
          <w:szCs w:val="28"/>
        </w:rPr>
        <w:fldChar w:fldCharType="end"/>
      </w:r>
      <w:r>
        <w:rPr>
          <w:sz w:val="28"/>
          <w:szCs w:val="28"/>
        </w:rPr>
        <w:fldChar w:fldCharType="end"/>
      </w:r>
    </w:p>
    <w:p w14:paraId="553CEDA2">
      <w:pPr>
        <w:pStyle w:val="8"/>
        <w:tabs>
          <w:tab w:val="right" w:leader="dot" w:pos="8296"/>
        </w:tabs>
        <w:rPr>
          <w:sz w:val="28"/>
          <w:szCs w:val="28"/>
        </w:rPr>
      </w:pPr>
      <w:r>
        <w:fldChar w:fldCharType="begin"/>
      </w:r>
      <w:r>
        <w:instrText xml:space="preserve"> HYPERLINK \l "_Toc76826187" </w:instrText>
      </w:r>
      <w:r>
        <w:fldChar w:fldCharType="separate"/>
      </w:r>
      <w:r>
        <w:rPr>
          <w:rStyle w:val="13"/>
          <w:rFonts w:hint="eastAsia" w:ascii="楷体_GB2312" w:hAnsi="仿宋" w:eastAsia="楷体_GB2312"/>
          <w:sz w:val="28"/>
          <w:szCs w:val="28"/>
        </w:rPr>
        <w:t>（六）优化营商环境</w:t>
      </w:r>
      <w:r>
        <w:rPr>
          <w:sz w:val="28"/>
          <w:szCs w:val="28"/>
        </w:rPr>
        <w:tab/>
      </w:r>
      <w:r>
        <w:rPr>
          <w:sz w:val="28"/>
          <w:szCs w:val="28"/>
        </w:rPr>
        <w:fldChar w:fldCharType="begin"/>
      </w:r>
      <w:r>
        <w:rPr>
          <w:sz w:val="28"/>
          <w:szCs w:val="28"/>
        </w:rPr>
        <w:instrText xml:space="preserve"> PAGEREF _Toc76826187 \h </w:instrText>
      </w:r>
      <w:r>
        <w:rPr>
          <w:sz w:val="28"/>
          <w:szCs w:val="28"/>
        </w:rPr>
        <w:fldChar w:fldCharType="separate"/>
      </w:r>
      <w:r>
        <w:rPr>
          <w:sz w:val="28"/>
          <w:szCs w:val="28"/>
        </w:rPr>
        <w:t>62</w:t>
      </w:r>
      <w:r>
        <w:rPr>
          <w:sz w:val="28"/>
          <w:szCs w:val="28"/>
        </w:rPr>
        <w:fldChar w:fldCharType="end"/>
      </w:r>
      <w:r>
        <w:rPr>
          <w:sz w:val="28"/>
          <w:szCs w:val="28"/>
        </w:rPr>
        <w:fldChar w:fldCharType="end"/>
      </w:r>
    </w:p>
    <w:p w14:paraId="01095A2C">
      <w:pPr>
        <w:pStyle w:val="8"/>
        <w:tabs>
          <w:tab w:val="right" w:leader="dot" w:pos="8296"/>
        </w:tabs>
        <w:rPr>
          <w:sz w:val="28"/>
          <w:szCs w:val="28"/>
        </w:rPr>
      </w:pPr>
      <w:r>
        <w:fldChar w:fldCharType="begin"/>
      </w:r>
      <w:r>
        <w:instrText xml:space="preserve"> HYPERLINK \l "_Toc76826188" </w:instrText>
      </w:r>
      <w:r>
        <w:fldChar w:fldCharType="separate"/>
      </w:r>
      <w:r>
        <w:rPr>
          <w:rStyle w:val="13"/>
          <w:rFonts w:hint="eastAsia" w:ascii="楷体_GB2312" w:hAnsi="仿宋" w:eastAsia="楷体_GB2312"/>
          <w:sz w:val="28"/>
          <w:szCs w:val="28"/>
        </w:rPr>
        <w:t>（七）实施“链长”制引导</w:t>
      </w:r>
      <w:r>
        <w:rPr>
          <w:sz w:val="28"/>
          <w:szCs w:val="28"/>
        </w:rPr>
        <w:tab/>
      </w:r>
      <w:r>
        <w:rPr>
          <w:sz w:val="28"/>
          <w:szCs w:val="28"/>
        </w:rPr>
        <w:fldChar w:fldCharType="begin"/>
      </w:r>
      <w:r>
        <w:rPr>
          <w:sz w:val="28"/>
          <w:szCs w:val="28"/>
        </w:rPr>
        <w:instrText xml:space="preserve"> PAGEREF _Toc76826188 \h </w:instrText>
      </w:r>
      <w:r>
        <w:rPr>
          <w:sz w:val="28"/>
          <w:szCs w:val="28"/>
        </w:rPr>
        <w:fldChar w:fldCharType="separate"/>
      </w:r>
      <w:r>
        <w:rPr>
          <w:sz w:val="28"/>
          <w:szCs w:val="28"/>
        </w:rPr>
        <w:t>63</w:t>
      </w:r>
      <w:r>
        <w:rPr>
          <w:sz w:val="28"/>
          <w:szCs w:val="28"/>
        </w:rPr>
        <w:fldChar w:fldCharType="end"/>
      </w:r>
      <w:r>
        <w:rPr>
          <w:sz w:val="28"/>
          <w:szCs w:val="28"/>
        </w:rPr>
        <w:fldChar w:fldCharType="end"/>
      </w:r>
    </w:p>
    <w:p w14:paraId="30EA3CC6">
      <w:pPr>
        <w:pStyle w:val="7"/>
        <w:tabs>
          <w:tab w:val="right" w:leader="dot" w:pos="8296"/>
        </w:tabs>
        <w:rPr>
          <w:sz w:val="28"/>
          <w:szCs w:val="28"/>
        </w:rPr>
      </w:pPr>
      <w:r>
        <w:fldChar w:fldCharType="begin"/>
      </w:r>
      <w:r>
        <w:instrText xml:space="preserve"> HYPERLINK \l "_Toc76826189" </w:instrText>
      </w:r>
      <w:r>
        <w:fldChar w:fldCharType="separate"/>
      </w:r>
      <w:r>
        <w:rPr>
          <w:rStyle w:val="13"/>
          <w:rFonts w:hint="eastAsia" w:ascii="黑体" w:hAnsi="黑体" w:eastAsia="黑体"/>
          <w:sz w:val="28"/>
          <w:szCs w:val="28"/>
        </w:rPr>
        <w:t>十、保障规划实施</w:t>
      </w:r>
      <w:r>
        <w:rPr>
          <w:sz w:val="28"/>
          <w:szCs w:val="28"/>
        </w:rPr>
        <w:tab/>
      </w:r>
      <w:r>
        <w:rPr>
          <w:sz w:val="28"/>
          <w:szCs w:val="28"/>
        </w:rPr>
        <w:fldChar w:fldCharType="begin"/>
      </w:r>
      <w:r>
        <w:rPr>
          <w:sz w:val="28"/>
          <w:szCs w:val="28"/>
        </w:rPr>
        <w:instrText xml:space="preserve"> PAGEREF _Toc76826189 \h </w:instrText>
      </w:r>
      <w:r>
        <w:rPr>
          <w:sz w:val="28"/>
          <w:szCs w:val="28"/>
        </w:rPr>
        <w:fldChar w:fldCharType="separate"/>
      </w:r>
      <w:r>
        <w:rPr>
          <w:sz w:val="28"/>
          <w:szCs w:val="28"/>
        </w:rPr>
        <w:t>64</w:t>
      </w:r>
      <w:r>
        <w:rPr>
          <w:sz w:val="28"/>
          <w:szCs w:val="28"/>
        </w:rPr>
        <w:fldChar w:fldCharType="end"/>
      </w:r>
      <w:r>
        <w:rPr>
          <w:sz w:val="28"/>
          <w:szCs w:val="28"/>
        </w:rPr>
        <w:fldChar w:fldCharType="end"/>
      </w:r>
    </w:p>
    <w:p w14:paraId="3C08EC34">
      <w:pPr>
        <w:pStyle w:val="8"/>
        <w:tabs>
          <w:tab w:val="right" w:leader="dot" w:pos="8296"/>
        </w:tabs>
        <w:rPr>
          <w:sz w:val="28"/>
          <w:szCs w:val="28"/>
        </w:rPr>
      </w:pPr>
      <w:r>
        <w:fldChar w:fldCharType="begin"/>
      </w:r>
      <w:r>
        <w:instrText xml:space="preserve"> HYPERLINK \l "_Toc76826190" </w:instrText>
      </w:r>
      <w:r>
        <w:fldChar w:fldCharType="separate"/>
      </w:r>
      <w:r>
        <w:rPr>
          <w:rStyle w:val="13"/>
          <w:rFonts w:hint="eastAsia" w:ascii="楷体_GB2312" w:hAnsi="仿宋" w:eastAsia="楷体_GB2312"/>
          <w:sz w:val="28"/>
          <w:szCs w:val="28"/>
        </w:rPr>
        <w:t>（一）加强组织领导</w:t>
      </w:r>
      <w:r>
        <w:rPr>
          <w:sz w:val="28"/>
          <w:szCs w:val="28"/>
        </w:rPr>
        <w:tab/>
      </w:r>
      <w:r>
        <w:rPr>
          <w:sz w:val="28"/>
          <w:szCs w:val="28"/>
        </w:rPr>
        <w:fldChar w:fldCharType="begin"/>
      </w:r>
      <w:r>
        <w:rPr>
          <w:sz w:val="28"/>
          <w:szCs w:val="28"/>
        </w:rPr>
        <w:instrText xml:space="preserve"> PAGEREF _Toc76826190 \h </w:instrText>
      </w:r>
      <w:r>
        <w:rPr>
          <w:sz w:val="28"/>
          <w:szCs w:val="28"/>
        </w:rPr>
        <w:fldChar w:fldCharType="separate"/>
      </w:r>
      <w:r>
        <w:rPr>
          <w:sz w:val="28"/>
          <w:szCs w:val="28"/>
        </w:rPr>
        <w:t>64</w:t>
      </w:r>
      <w:r>
        <w:rPr>
          <w:sz w:val="28"/>
          <w:szCs w:val="28"/>
        </w:rPr>
        <w:fldChar w:fldCharType="end"/>
      </w:r>
      <w:r>
        <w:rPr>
          <w:sz w:val="28"/>
          <w:szCs w:val="28"/>
        </w:rPr>
        <w:fldChar w:fldCharType="end"/>
      </w:r>
    </w:p>
    <w:p w14:paraId="14FE92B9">
      <w:pPr>
        <w:pStyle w:val="8"/>
        <w:tabs>
          <w:tab w:val="right" w:leader="dot" w:pos="8296"/>
        </w:tabs>
        <w:rPr>
          <w:sz w:val="28"/>
          <w:szCs w:val="28"/>
        </w:rPr>
      </w:pPr>
      <w:r>
        <w:fldChar w:fldCharType="begin"/>
      </w:r>
      <w:r>
        <w:instrText xml:space="preserve"> HYPERLINK \l "_Toc76826191" </w:instrText>
      </w:r>
      <w:r>
        <w:fldChar w:fldCharType="separate"/>
      </w:r>
      <w:r>
        <w:rPr>
          <w:rStyle w:val="13"/>
          <w:rFonts w:hint="eastAsia" w:ascii="楷体_GB2312" w:hAnsi="仿宋" w:eastAsia="楷体_GB2312"/>
          <w:sz w:val="28"/>
          <w:szCs w:val="28"/>
        </w:rPr>
        <w:t>（二）健全规划实施机制</w:t>
      </w:r>
      <w:r>
        <w:rPr>
          <w:sz w:val="28"/>
          <w:szCs w:val="28"/>
        </w:rPr>
        <w:tab/>
      </w:r>
      <w:r>
        <w:rPr>
          <w:sz w:val="28"/>
          <w:szCs w:val="28"/>
        </w:rPr>
        <w:fldChar w:fldCharType="begin"/>
      </w:r>
      <w:r>
        <w:rPr>
          <w:sz w:val="28"/>
          <w:szCs w:val="28"/>
        </w:rPr>
        <w:instrText xml:space="preserve"> PAGEREF _Toc76826191 \h </w:instrText>
      </w:r>
      <w:r>
        <w:rPr>
          <w:sz w:val="28"/>
          <w:szCs w:val="28"/>
        </w:rPr>
        <w:fldChar w:fldCharType="separate"/>
      </w:r>
      <w:r>
        <w:rPr>
          <w:sz w:val="28"/>
          <w:szCs w:val="28"/>
        </w:rPr>
        <w:t>64</w:t>
      </w:r>
      <w:r>
        <w:rPr>
          <w:sz w:val="28"/>
          <w:szCs w:val="28"/>
        </w:rPr>
        <w:fldChar w:fldCharType="end"/>
      </w:r>
      <w:r>
        <w:rPr>
          <w:sz w:val="28"/>
          <w:szCs w:val="28"/>
        </w:rPr>
        <w:fldChar w:fldCharType="end"/>
      </w:r>
    </w:p>
    <w:p w14:paraId="4DA0A205">
      <w:pPr>
        <w:pStyle w:val="5"/>
        <w:tabs>
          <w:tab w:val="right" w:leader="dot" w:pos="8296"/>
        </w:tabs>
        <w:rPr>
          <w:sz w:val="28"/>
          <w:szCs w:val="28"/>
        </w:rPr>
      </w:pPr>
      <w:r>
        <w:fldChar w:fldCharType="begin"/>
      </w:r>
      <w:r>
        <w:instrText xml:space="preserve"> HYPERLINK \l "_Toc76826192"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完善政策支持体系</w:t>
      </w:r>
      <w:r>
        <w:rPr>
          <w:sz w:val="28"/>
          <w:szCs w:val="28"/>
        </w:rPr>
        <w:tab/>
      </w:r>
      <w:r>
        <w:rPr>
          <w:sz w:val="28"/>
          <w:szCs w:val="28"/>
        </w:rPr>
        <w:fldChar w:fldCharType="begin"/>
      </w:r>
      <w:r>
        <w:rPr>
          <w:sz w:val="28"/>
          <w:szCs w:val="28"/>
        </w:rPr>
        <w:instrText xml:space="preserve"> PAGEREF _Toc76826192 \h </w:instrText>
      </w:r>
      <w:r>
        <w:rPr>
          <w:sz w:val="28"/>
          <w:szCs w:val="28"/>
        </w:rPr>
        <w:fldChar w:fldCharType="separate"/>
      </w:r>
      <w:r>
        <w:rPr>
          <w:sz w:val="28"/>
          <w:szCs w:val="28"/>
        </w:rPr>
        <w:t>64</w:t>
      </w:r>
      <w:r>
        <w:rPr>
          <w:sz w:val="28"/>
          <w:szCs w:val="28"/>
        </w:rPr>
        <w:fldChar w:fldCharType="end"/>
      </w:r>
      <w:r>
        <w:rPr>
          <w:sz w:val="28"/>
          <w:szCs w:val="28"/>
        </w:rPr>
        <w:fldChar w:fldCharType="end"/>
      </w:r>
    </w:p>
    <w:p w14:paraId="67EC94B6">
      <w:pPr>
        <w:pStyle w:val="5"/>
        <w:tabs>
          <w:tab w:val="right" w:leader="dot" w:pos="8296"/>
        </w:tabs>
        <w:rPr>
          <w:sz w:val="28"/>
          <w:szCs w:val="28"/>
        </w:rPr>
      </w:pPr>
      <w:r>
        <w:fldChar w:fldCharType="begin"/>
      </w:r>
      <w:r>
        <w:instrText xml:space="preserve"> HYPERLINK \l "_Toc76826193"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明确实施责任</w:t>
      </w:r>
      <w:r>
        <w:rPr>
          <w:sz w:val="28"/>
          <w:szCs w:val="28"/>
        </w:rPr>
        <w:tab/>
      </w:r>
      <w:r>
        <w:rPr>
          <w:sz w:val="28"/>
          <w:szCs w:val="28"/>
        </w:rPr>
        <w:fldChar w:fldCharType="begin"/>
      </w:r>
      <w:r>
        <w:rPr>
          <w:sz w:val="28"/>
          <w:szCs w:val="28"/>
        </w:rPr>
        <w:instrText xml:space="preserve"> PAGEREF _Toc76826193 \h </w:instrText>
      </w:r>
      <w:r>
        <w:rPr>
          <w:sz w:val="28"/>
          <w:szCs w:val="28"/>
        </w:rPr>
        <w:fldChar w:fldCharType="separate"/>
      </w:r>
      <w:r>
        <w:rPr>
          <w:sz w:val="28"/>
          <w:szCs w:val="28"/>
        </w:rPr>
        <w:t>64</w:t>
      </w:r>
      <w:r>
        <w:rPr>
          <w:sz w:val="28"/>
          <w:szCs w:val="28"/>
        </w:rPr>
        <w:fldChar w:fldCharType="end"/>
      </w:r>
      <w:r>
        <w:rPr>
          <w:sz w:val="28"/>
          <w:szCs w:val="28"/>
        </w:rPr>
        <w:fldChar w:fldCharType="end"/>
      </w:r>
    </w:p>
    <w:p w14:paraId="6DCAAA63">
      <w:pPr>
        <w:pStyle w:val="8"/>
        <w:tabs>
          <w:tab w:val="left" w:pos="1680"/>
          <w:tab w:val="right" w:leader="dot" w:pos="8296"/>
        </w:tabs>
        <w:rPr>
          <w:sz w:val="28"/>
          <w:szCs w:val="28"/>
        </w:rPr>
      </w:pPr>
      <w:r>
        <w:fldChar w:fldCharType="begin"/>
      </w:r>
      <w:r>
        <w:instrText xml:space="preserve"> HYPERLINK \l "_Toc76826194" </w:instrText>
      </w:r>
      <w:r>
        <w:fldChar w:fldCharType="separate"/>
      </w:r>
      <w:r>
        <w:rPr>
          <w:rStyle w:val="13"/>
          <w:rFonts w:hint="eastAsia" w:ascii="楷体_GB2312" w:hAnsi="仿宋" w:eastAsia="楷体_GB2312"/>
          <w:sz w:val="28"/>
          <w:szCs w:val="28"/>
        </w:rPr>
        <w:t>（三）强化重点项目保障</w:t>
      </w:r>
      <w:r>
        <w:rPr>
          <w:sz w:val="28"/>
          <w:szCs w:val="28"/>
        </w:rPr>
        <w:tab/>
      </w:r>
      <w:r>
        <w:rPr>
          <w:sz w:val="28"/>
          <w:szCs w:val="28"/>
        </w:rPr>
        <w:fldChar w:fldCharType="begin"/>
      </w:r>
      <w:r>
        <w:rPr>
          <w:sz w:val="28"/>
          <w:szCs w:val="28"/>
        </w:rPr>
        <w:instrText xml:space="preserve"> PAGEREF _Toc76826194 \h </w:instrText>
      </w:r>
      <w:r>
        <w:rPr>
          <w:sz w:val="28"/>
          <w:szCs w:val="28"/>
        </w:rPr>
        <w:fldChar w:fldCharType="separate"/>
      </w:r>
      <w:r>
        <w:rPr>
          <w:sz w:val="28"/>
          <w:szCs w:val="28"/>
        </w:rPr>
        <w:t>65</w:t>
      </w:r>
      <w:r>
        <w:rPr>
          <w:sz w:val="28"/>
          <w:szCs w:val="28"/>
        </w:rPr>
        <w:fldChar w:fldCharType="end"/>
      </w:r>
      <w:r>
        <w:rPr>
          <w:sz w:val="28"/>
          <w:szCs w:val="28"/>
        </w:rPr>
        <w:fldChar w:fldCharType="end"/>
      </w:r>
    </w:p>
    <w:p w14:paraId="4706D8DC">
      <w:pPr>
        <w:pStyle w:val="5"/>
        <w:tabs>
          <w:tab w:val="right" w:leader="dot" w:pos="8296"/>
        </w:tabs>
        <w:rPr>
          <w:sz w:val="28"/>
          <w:szCs w:val="28"/>
        </w:rPr>
      </w:pPr>
      <w:r>
        <w:fldChar w:fldCharType="begin"/>
      </w:r>
      <w:r>
        <w:instrText xml:space="preserve"> HYPERLINK \l "_Toc76826195"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保障项目落实</w:t>
      </w:r>
      <w:r>
        <w:rPr>
          <w:sz w:val="28"/>
          <w:szCs w:val="28"/>
        </w:rPr>
        <w:tab/>
      </w:r>
      <w:r>
        <w:rPr>
          <w:sz w:val="28"/>
          <w:szCs w:val="28"/>
        </w:rPr>
        <w:fldChar w:fldCharType="begin"/>
      </w:r>
      <w:r>
        <w:rPr>
          <w:sz w:val="28"/>
          <w:szCs w:val="28"/>
        </w:rPr>
        <w:instrText xml:space="preserve"> PAGEREF _Toc76826195 \h </w:instrText>
      </w:r>
      <w:r>
        <w:rPr>
          <w:sz w:val="28"/>
          <w:szCs w:val="28"/>
        </w:rPr>
        <w:fldChar w:fldCharType="separate"/>
      </w:r>
      <w:r>
        <w:rPr>
          <w:sz w:val="28"/>
          <w:szCs w:val="28"/>
        </w:rPr>
        <w:t>65</w:t>
      </w:r>
      <w:r>
        <w:rPr>
          <w:sz w:val="28"/>
          <w:szCs w:val="28"/>
        </w:rPr>
        <w:fldChar w:fldCharType="end"/>
      </w:r>
      <w:r>
        <w:rPr>
          <w:sz w:val="28"/>
          <w:szCs w:val="28"/>
        </w:rPr>
        <w:fldChar w:fldCharType="end"/>
      </w:r>
    </w:p>
    <w:p w14:paraId="0932B9BD">
      <w:pPr>
        <w:pStyle w:val="5"/>
        <w:tabs>
          <w:tab w:val="right" w:leader="dot" w:pos="8296"/>
        </w:tabs>
        <w:rPr>
          <w:sz w:val="28"/>
          <w:szCs w:val="28"/>
        </w:rPr>
      </w:pPr>
      <w:r>
        <w:fldChar w:fldCharType="begin"/>
      </w:r>
      <w:r>
        <w:instrText xml:space="preserve"> HYPERLINK \l "_Toc76826196"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做好项目管理</w:t>
      </w:r>
      <w:r>
        <w:rPr>
          <w:sz w:val="28"/>
          <w:szCs w:val="28"/>
        </w:rPr>
        <w:tab/>
      </w:r>
      <w:r>
        <w:rPr>
          <w:sz w:val="28"/>
          <w:szCs w:val="28"/>
        </w:rPr>
        <w:fldChar w:fldCharType="begin"/>
      </w:r>
      <w:r>
        <w:rPr>
          <w:sz w:val="28"/>
          <w:szCs w:val="28"/>
        </w:rPr>
        <w:instrText xml:space="preserve"> PAGEREF _Toc76826196 \h </w:instrText>
      </w:r>
      <w:r>
        <w:rPr>
          <w:sz w:val="28"/>
          <w:szCs w:val="28"/>
        </w:rPr>
        <w:fldChar w:fldCharType="separate"/>
      </w:r>
      <w:r>
        <w:rPr>
          <w:sz w:val="28"/>
          <w:szCs w:val="28"/>
        </w:rPr>
        <w:t>65</w:t>
      </w:r>
      <w:r>
        <w:rPr>
          <w:sz w:val="28"/>
          <w:szCs w:val="28"/>
        </w:rPr>
        <w:fldChar w:fldCharType="end"/>
      </w:r>
      <w:r>
        <w:rPr>
          <w:sz w:val="28"/>
          <w:szCs w:val="28"/>
        </w:rPr>
        <w:fldChar w:fldCharType="end"/>
      </w:r>
    </w:p>
    <w:p w14:paraId="4959F60A">
      <w:pPr>
        <w:pStyle w:val="8"/>
        <w:tabs>
          <w:tab w:val="right" w:leader="dot" w:pos="8296"/>
        </w:tabs>
        <w:rPr>
          <w:sz w:val="28"/>
          <w:szCs w:val="28"/>
        </w:rPr>
      </w:pPr>
      <w:r>
        <w:fldChar w:fldCharType="begin"/>
      </w:r>
      <w:r>
        <w:instrText xml:space="preserve"> HYPERLINK \l "_Toc76826197" </w:instrText>
      </w:r>
      <w:r>
        <w:fldChar w:fldCharType="separate"/>
      </w:r>
      <w:r>
        <w:rPr>
          <w:rStyle w:val="13"/>
          <w:rFonts w:hint="eastAsia" w:ascii="楷体_GB2312" w:hAnsi="仿宋" w:eastAsia="楷体_GB2312"/>
          <w:sz w:val="28"/>
          <w:szCs w:val="28"/>
        </w:rPr>
        <w:t>（四）加强考核监督</w:t>
      </w:r>
      <w:r>
        <w:rPr>
          <w:sz w:val="28"/>
          <w:szCs w:val="28"/>
        </w:rPr>
        <w:tab/>
      </w:r>
      <w:r>
        <w:rPr>
          <w:sz w:val="28"/>
          <w:szCs w:val="28"/>
        </w:rPr>
        <w:fldChar w:fldCharType="begin"/>
      </w:r>
      <w:r>
        <w:rPr>
          <w:sz w:val="28"/>
          <w:szCs w:val="28"/>
        </w:rPr>
        <w:instrText xml:space="preserve"> PAGEREF _Toc76826197 \h </w:instrText>
      </w:r>
      <w:r>
        <w:rPr>
          <w:sz w:val="28"/>
          <w:szCs w:val="28"/>
        </w:rPr>
        <w:fldChar w:fldCharType="separate"/>
      </w:r>
      <w:r>
        <w:rPr>
          <w:sz w:val="28"/>
          <w:szCs w:val="28"/>
        </w:rPr>
        <w:t>65</w:t>
      </w:r>
      <w:r>
        <w:rPr>
          <w:sz w:val="28"/>
          <w:szCs w:val="28"/>
        </w:rPr>
        <w:fldChar w:fldCharType="end"/>
      </w:r>
      <w:r>
        <w:rPr>
          <w:sz w:val="28"/>
          <w:szCs w:val="28"/>
        </w:rPr>
        <w:fldChar w:fldCharType="end"/>
      </w:r>
    </w:p>
    <w:p w14:paraId="3F15DD33">
      <w:pPr>
        <w:pStyle w:val="5"/>
        <w:tabs>
          <w:tab w:val="right" w:leader="dot" w:pos="8296"/>
        </w:tabs>
        <w:rPr>
          <w:sz w:val="28"/>
          <w:szCs w:val="28"/>
        </w:rPr>
      </w:pPr>
      <w:r>
        <w:fldChar w:fldCharType="begin"/>
      </w:r>
      <w:r>
        <w:instrText xml:space="preserve"> HYPERLINK \l "_Toc76826198" </w:instrText>
      </w:r>
      <w:r>
        <w:fldChar w:fldCharType="separate"/>
      </w:r>
      <w:r>
        <w:rPr>
          <w:rStyle w:val="13"/>
          <w:rFonts w:ascii="仿宋_GB2312" w:hAnsi="Times New Roman" w:eastAsia="仿宋_GB2312"/>
          <w:sz w:val="28"/>
          <w:szCs w:val="28"/>
        </w:rPr>
        <w:t>1.</w:t>
      </w:r>
      <w:r>
        <w:rPr>
          <w:rStyle w:val="13"/>
          <w:rFonts w:hint="eastAsia" w:ascii="仿宋_GB2312" w:hAnsi="Times New Roman" w:eastAsia="仿宋_GB2312"/>
          <w:sz w:val="28"/>
          <w:szCs w:val="28"/>
        </w:rPr>
        <w:t>加强规划实施监测</w:t>
      </w:r>
      <w:r>
        <w:rPr>
          <w:sz w:val="28"/>
          <w:szCs w:val="28"/>
        </w:rPr>
        <w:tab/>
      </w:r>
      <w:r>
        <w:rPr>
          <w:sz w:val="28"/>
          <w:szCs w:val="28"/>
        </w:rPr>
        <w:fldChar w:fldCharType="begin"/>
      </w:r>
      <w:r>
        <w:rPr>
          <w:sz w:val="28"/>
          <w:szCs w:val="28"/>
        </w:rPr>
        <w:instrText xml:space="preserve"> PAGEREF _Toc76826198 \h </w:instrText>
      </w:r>
      <w:r>
        <w:rPr>
          <w:sz w:val="28"/>
          <w:szCs w:val="28"/>
        </w:rPr>
        <w:fldChar w:fldCharType="separate"/>
      </w:r>
      <w:r>
        <w:rPr>
          <w:sz w:val="28"/>
          <w:szCs w:val="28"/>
        </w:rPr>
        <w:t>65</w:t>
      </w:r>
      <w:r>
        <w:rPr>
          <w:sz w:val="28"/>
          <w:szCs w:val="28"/>
        </w:rPr>
        <w:fldChar w:fldCharType="end"/>
      </w:r>
      <w:r>
        <w:rPr>
          <w:sz w:val="28"/>
          <w:szCs w:val="28"/>
        </w:rPr>
        <w:fldChar w:fldCharType="end"/>
      </w:r>
    </w:p>
    <w:p w14:paraId="5CE87A4E">
      <w:pPr>
        <w:pStyle w:val="5"/>
        <w:tabs>
          <w:tab w:val="right" w:leader="dot" w:pos="8296"/>
        </w:tabs>
        <w:rPr>
          <w:sz w:val="28"/>
          <w:szCs w:val="28"/>
        </w:rPr>
      </w:pPr>
      <w:r>
        <w:fldChar w:fldCharType="begin"/>
      </w:r>
      <w:r>
        <w:instrText xml:space="preserve"> HYPERLINK \l "_Toc76826199" </w:instrText>
      </w:r>
      <w:r>
        <w:fldChar w:fldCharType="separate"/>
      </w:r>
      <w:r>
        <w:rPr>
          <w:rStyle w:val="13"/>
          <w:rFonts w:ascii="仿宋_GB2312" w:hAnsi="Times New Roman" w:eastAsia="仿宋_GB2312"/>
          <w:sz w:val="28"/>
          <w:szCs w:val="28"/>
        </w:rPr>
        <w:t>2.</w:t>
      </w:r>
      <w:r>
        <w:rPr>
          <w:rStyle w:val="13"/>
          <w:rFonts w:hint="eastAsia" w:ascii="仿宋_GB2312" w:hAnsi="Times New Roman" w:eastAsia="仿宋_GB2312"/>
          <w:sz w:val="28"/>
          <w:szCs w:val="28"/>
        </w:rPr>
        <w:t>加强监督考核</w:t>
      </w:r>
      <w:r>
        <w:rPr>
          <w:sz w:val="28"/>
          <w:szCs w:val="28"/>
        </w:rPr>
        <w:tab/>
      </w:r>
      <w:r>
        <w:rPr>
          <w:sz w:val="28"/>
          <w:szCs w:val="28"/>
        </w:rPr>
        <w:fldChar w:fldCharType="begin"/>
      </w:r>
      <w:r>
        <w:rPr>
          <w:sz w:val="28"/>
          <w:szCs w:val="28"/>
        </w:rPr>
        <w:instrText xml:space="preserve"> PAGEREF _Toc76826199 \h </w:instrText>
      </w:r>
      <w:r>
        <w:rPr>
          <w:sz w:val="28"/>
          <w:szCs w:val="28"/>
        </w:rPr>
        <w:fldChar w:fldCharType="separate"/>
      </w:r>
      <w:r>
        <w:rPr>
          <w:sz w:val="28"/>
          <w:szCs w:val="28"/>
        </w:rPr>
        <w:t>66</w:t>
      </w:r>
      <w:r>
        <w:rPr>
          <w:sz w:val="28"/>
          <w:szCs w:val="28"/>
        </w:rPr>
        <w:fldChar w:fldCharType="end"/>
      </w:r>
      <w:r>
        <w:rPr>
          <w:sz w:val="28"/>
          <w:szCs w:val="28"/>
        </w:rPr>
        <w:fldChar w:fldCharType="end"/>
      </w:r>
    </w:p>
    <w:p w14:paraId="18197B02">
      <w:pPr>
        <w:pStyle w:val="8"/>
        <w:tabs>
          <w:tab w:val="right" w:leader="dot" w:pos="8296"/>
        </w:tabs>
        <w:spacing w:line="560" w:lineRule="exact"/>
        <w:rPr>
          <w:rFonts w:ascii="黑体" w:hAnsi="黑体" w:eastAsia="黑体"/>
          <w:sz w:val="28"/>
          <w:szCs w:val="28"/>
        </w:rPr>
      </w:pPr>
      <w:r>
        <w:rPr>
          <w:rFonts w:ascii="黑体" w:hAnsi="黑体" w:eastAsia="黑体"/>
          <w:sz w:val="28"/>
          <w:szCs w:val="28"/>
        </w:rPr>
        <w:fldChar w:fldCharType="end"/>
      </w:r>
    </w:p>
    <w:p w14:paraId="61AC81C2">
      <w:pPr>
        <w:pageBreakBefore/>
        <w:rPr>
          <w:rFonts w:ascii="黑体" w:hAnsi="黑体" w:eastAsia="黑体"/>
          <w:sz w:val="28"/>
          <w:szCs w:val="28"/>
        </w:rPr>
        <w:sectPr>
          <w:pgSz w:w="11906" w:h="16838"/>
          <w:pgMar w:top="1440" w:right="1800" w:bottom="1440" w:left="1800" w:header="851" w:footer="992" w:gutter="0"/>
          <w:pgNumType w:fmt="upperRoman" w:start="1"/>
          <w:cols w:space="425" w:num="1"/>
          <w:docGrid w:type="lines" w:linePitch="312" w:charSpace="0"/>
        </w:sectPr>
      </w:pPr>
    </w:p>
    <w:p w14:paraId="44EE2784">
      <w:pPr>
        <w:spacing w:line="560" w:lineRule="exact"/>
        <w:ind w:firstLine="640" w:firstLineChars="200"/>
        <w:rPr>
          <w:rFonts w:ascii="仿宋_GB2312" w:hAnsi="Times New Roman" w:eastAsia="仿宋_GB2312"/>
          <w:sz w:val="32"/>
          <w:szCs w:val="32"/>
        </w:rPr>
      </w:pPr>
    </w:p>
    <w:p w14:paraId="3D42636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花都是粤港澳大湾区</w:t>
      </w:r>
      <w:r>
        <w:rPr>
          <w:rFonts w:ascii="仿宋_GB2312" w:hAnsi="Times New Roman" w:eastAsia="仿宋_GB2312"/>
          <w:sz w:val="32"/>
          <w:szCs w:val="32"/>
        </w:rPr>
        <w:t>建设具有国际竞争力先进制造业基地重要支撑，</w:t>
      </w:r>
      <w:r>
        <w:rPr>
          <w:rFonts w:hint="eastAsia" w:ascii="仿宋_GB2312" w:hAnsi="Times New Roman" w:eastAsia="仿宋_GB2312"/>
          <w:sz w:val="32"/>
          <w:szCs w:val="32"/>
        </w:rPr>
        <w:t>是广州打造先进制造强市的主要承载区，以汽车为代表的先进制造业以及以皮革皮具为代表的传统优势产业在全市、全省甚至全国都具有很强的竞争力。“十四五”期间，为加强先进制造业发展指导，进一步加快推进我区现代化经济体系形成，推动经济高质量发展，根据花都区委区政府的统一工作部署，编制《广州市花都区“十四五”时期先进制造业和传统优势产业发展规划》。《规划》确定了</w:t>
      </w:r>
      <w:r>
        <w:rPr>
          <w:rFonts w:ascii="仿宋_GB2312" w:hAnsi="Times New Roman" w:eastAsia="仿宋_GB2312"/>
          <w:sz w:val="32"/>
          <w:szCs w:val="32"/>
        </w:rPr>
        <w:t>未来五年</w:t>
      </w:r>
      <w:r>
        <w:rPr>
          <w:rFonts w:hint="eastAsia" w:ascii="仿宋_GB2312" w:hAnsi="Times New Roman" w:eastAsia="仿宋_GB2312"/>
          <w:sz w:val="32"/>
          <w:szCs w:val="32"/>
        </w:rPr>
        <w:t>我</w:t>
      </w:r>
      <w:r>
        <w:rPr>
          <w:rFonts w:ascii="仿宋_GB2312" w:hAnsi="Times New Roman" w:eastAsia="仿宋_GB2312"/>
          <w:sz w:val="32"/>
          <w:szCs w:val="32"/>
        </w:rPr>
        <w:t>区</w:t>
      </w:r>
      <w:r>
        <w:rPr>
          <w:rFonts w:hint="eastAsia" w:ascii="仿宋_GB2312" w:hAnsi="Times New Roman" w:eastAsia="仿宋_GB2312"/>
          <w:sz w:val="32"/>
          <w:szCs w:val="32"/>
        </w:rPr>
        <w:t>制造业的发展目标、先进制造体系的发展重点、重点产业的空间布局等，明确了支撑体系建设重点，促进花都先进制造业竞争力进一步提升。规划期为</w:t>
      </w:r>
      <w:r>
        <w:rPr>
          <w:rFonts w:ascii="仿宋_GB2312" w:hAnsi="Times New Roman" w:eastAsia="仿宋_GB2312"/>
          <w:sz w:val="32"/>
          <w:szCs w:val="32"/>
        </w:rPr>
        <w:t>2021-20</w:t>
      </w:r>
      <w:r>
        <w:rPr>
          <w:rFonts w:hint="eastAsia" w:ascii="仿宋_GB2312" w:hAnsi="Times New Roman" w:eastAsia="仿宋_GB2312"/>
          <w:sz w:val="32"/>
          <w:szCs w:val="32"/>
        </w:rPr>
        <w:t>2</w:t>
      </w:r>
      <w:r>
        <w:rPr>
          <w:rFonts w:ascii="仿宋_GB2312" w:hAnsi="Times New Roman" w:eastAsia="仿宋_GB2312"/>
          <w:sz w:val="32"/>
          <w:szCs w:val="32"/>
        </w:rPr>
        <w:t>5</w:t>
      </w:r>
      <w:r>
        <w:rPr>
          <w:rFonts w:hint="eastAsia" w:ascii="仿宋_GB2312" w:hAnsi="Times New Roman" w:eastAsia="仿宋_GB2312"/>
          <w:sz w:val="32"/>
          <w:szCs w:val="32"/>
        </w:rPr>
        <w:t>年。</w:t>
      </w:r>
    </w:p>
    <w:p w14:paraId="73BC5AAC">
      <w:pPr>
        <w:spacing w:line="560" w:lineRule="exact"/>
        <w:ind w:firstLine="640" w:firstLineChars="200"/>
        <w:rPr>
          <w:rFonts w:ascii="仿宋_GB2312" w:hAnsi="Times New Roman" w:eastAsia="仿宋_GB2312"/>
          <w:sz w:val="32"/>
          <w:szCs w:val="32"/>
        </w:rPr>
      </w:pPr>
    </w:p>
    <w:p w14:paraId="1FC6F6BF">
      <w:pPr>
        <w:pStyle w:val="3"/>
        <w:spacing w:before="0" w:after="0" w:line="560" w:lineRule="exact"/>
        <w:rPr>
          <w:rFonts w:ascii="黑体" w:hAnsi="黑体" w:eastAsia="黑体"/>
          <w:b w:val="0"/>
          <w:sz w:val="32"/>
          <w:szCs w:val="32"/>
        </w:rPr>
      </w:pPr>
      <w:bookmarkStart w:id="0" w:name="_Toc76826078"/>
      <w:r>
        <w:rPr>
          <w:rFonts w:hint="eastAsia" w:ascii="黑体" w:hAnsi="黑体" w:eastAsia="黑体"/>
          <w:b w:val="0"/>
          <w:sz w:val="32"/>
          <w:szCs w:val="32"/>
        </w:rPr>
        <w:t>一、发展基础</w:t>
      </w:r>
      <w:bookmarkEnd w:id="0"/>
    </w:p>
    <w:p w14:paraId="49B8DE29">
      <w:pPr>
        <w:pStyle w:val="2"/>
        <w:spacing w:before="0" w:after="0" w:line="560" w:lineRule="exact"/>
        <w:ind w:firstLine="643" w:firstLineChars="200"/>
        <w:rPr>
          <w:rFonts w:ascii="楷体_GB2312" w:hAnsi="仿宋" w:eastAsia="楷体_GB2312"/>
        </w:rPr>
      </w:pPr>
      <w:bookmarkStart w:id="1" w:name="_Toc76826079"/>
      <w:r>
        <w:rPr>
          <w:rFonts w:ascii="楷体_GB2312" w:hAnsi="仿宋" w:eastAsia="楷体_GB2312"/>
        </w:rPr>
        <w:t>（一）</w:t>
      </w:r>
      <w:r>
        <w:rPr>
          <w:rFonts w:hint="eastAsia" w:ascii="楷体_GB2312" w:hAnsi="仿宋" w:eastAsia="楷体_GB2312"/>
        </w:rPr>
        <w:t>“十三五”取得的</w:t>
      </w:r>
      <w:r>
        <w:rPr>
          <w:rFonts w:ascii="楷体_GB2312" w:hAnsi="仿宋" w:eastAsia="楷体_GB2312"/>
        </w:rPr>
        <w:t>成就</w:t>
      </w:r>
      <w:bookmarkEnd w:id="1"/>
    </w:p>
    <w:p w14:paraId="797100C9">
      <w:pPr>
        <w:pStyle w:val="4"/>
        <w:spacing w:before="0" w:after="0" w:line="560" w:lineRule="exact"/>
        <w:ind w:firstLine="643" w:firstLineChars="200"/>
        <w:rPr>
          <w:rFonts w:ascii="仿宋_GB2312" w:hAnsi="Times New Roman" w:eastAsia="仿宋_GB2312"/>
          <w:bCs w:val="0"/>
        </w:rPr>
      </w:pPr>
      <w:bookmarkStart w:id="2" w:name="_Toc76826080"/>
      <w:r>
        <w:rPr>
          <w:rFonts w:hint="eastAsia" w:ascii="仿宋_GB2312" w:hAnsi="Times New Roman" w:eastAsia="仿宋_GB2312"/>
          <w:bCs w:val="0"/>
        </w:rPr>
        <w:t>1.</w:t>
      </w:r>
      <w:r>
        <w:rPr>
          <w:rFonts w:ascii="仿宋_GB2312" w:hAnsi="Times New Roman" w:eastAsia="仿宋_GB2312"/>
          <w:bCs w:val="0"/>
        </w:rPr>
        <w:t>综合实力不断壮大</w:t>
      </w:r>
      <w:bookmarkEnd w:id="2"/>
    </w:p>
    <w:p w14:paraId="29A3CF2D">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花都区工业经济总量稳步提升，2020年全区规模以上工业总产值2668.21亿元，占广州市规模以上工业总产值的比重为13.36%，较2015年增加2.91个百分点；规模以上工业增加</w:t>
      </w:r>
      <w:r>
        <w:rPr>
          <w:rFonts w:hint="eastAsia" w:ascii="仿宋_GB2312" w:hAnsi="Times New Roman" w:eastAsia="仿宋_GB2312"/>
          <w:color w:val="auto"/>
          <w:sz w:val="32"/>
          <w:szCs w:val="32"/>
        </w:rPr>
        <w:t>值为607.85，较2015年增加20.44亿元，“十三五”期间年均增速0.99%；规模以上先进制造业增加值483.24亿元，较2015年增加90.03元，占规</w:t>
      </w:r>
      <w:r>
        <w:rPr>
          <w:rFonts w:hint="eastAsia" w:ascii="仿宋_GB2312" w:hAnsi="Times New Roman" w:eastAsia="仿宋_GB2312"/>
          <w:sz w:val="32"/>
          <w:szCs w:val="32"/>
        </w:rPr>
        <w:t>模以上工业增加值比重为79.50%，较2015年增加8.05个百分点。大项目建设和招商引资创历史新高。“十三五”期间，累计推动604个重点项目建设，完成投资1102.97亿元；累计签约重点项目199个，投资总额约2915亿元；中国中车、中国国航、中电建、京东、德邦物流、亚士创能、东方雨虹等一批重大项目投资落户花都。经过过去5年的快速发展，花都区汽车制造、飞机维修等先进制造业实力进一步增强，其他战略性支柱产业及战略性新兴产业实力不断提升，创新水平高、竞争能力强、产业均衡发展的现代制造业产业体系正在加快形成。花都获评全省制造业发展较好县（市、区）。</w:t>
      </w:r>
    </w:p>
    <w:p w14:paraId="3D2AF7D5">
      <w:pPr>
        <w:rPr>
          <w:rFonts w:ascii="仿宋" w:hAnsi="仿宋" w:eastAsia="仿宋"/>
          <w:sz w:val="28"/>
          <w:szCs w:val="28"/>
        </w:rPr>
      </w:pPr>
      <w:r>
        <w:drawing>
          <wp:inline distT="0" distB="0" distL="114300" distR="114300">
            <wp:extent cx="5271770" cy="3040380"/>
            <wp:effectExtent l="4445" t="4445" r="19685" b="2222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164CFB8">
      <w:pPr>
        <w:jc w:val="center"/>
        <w:rPr>
          <w:rFonts w:ascii="仿宋_GB2312" w:hAnsi="仿宋" w:eastAsia="仿宋_GB2312"/>
          <w:b/>
          <w:sz w:val="28"/>
          <w:szCs w:val="28"/>
        </w:rPr>
      </w:pPr>
      <w:r>
        <w:rPr>
          <w:rFonts w:hint="eastAsia" w:ascii="仿宋_GB2312" w:hAnsi="仿宋" w:eastAsia="仿宋_GB2312"/>
          <w:b/>
          <w:sz w:val="28"/>
          <w:szCs w:val="28"/>
        </w:rPr>
        <w:t>图1-1 花都规模以上工业总产值及比重</w:t>
      </w:r>
    </w:p>
    <w:p w14:paraId="5BF6877A">
      <w:pPr>
        <w:pStyle w:val="4"/>
        <w:spacing w:before="0" w:after="0" w:line="560" w:lineRule="exact"/>
        <w:ind w:firstLine="643" w:firstLineChars="200"/>
        <w:rPr>
          <w:rFonts w:ascii="仿宋_GB2312" w:hAnsi="Times New Roman" w:eastAsia="仿宋_GB2312"/>
          <w:bCs w:val="0"/>
        </w:rPr>
      </w:pPr>
      <w:bookmarkStart w:id="3" w:name="_Toc76826081"/>
      <w:r>
        <w:rPr>
          <w:rFonts w:hint="eastAsia" w:ascii="仿宋_GB2312" w:hAnsi="Times New Roman" w:eastAsia="仿宋_GB2312"/>
          <w:bCs w:val="0"/>
        </w:rPr>
        <w:t>2.产业结构优化升级</w:t>
      </w:r>
      <w:bookmarkEnd w:id="3"/>
    </w:p>
    <w:p w14:paraId="5EB3A4E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先进装备制造业规模不断扩大，2020年规模以上装备制造业增加值468.04亿元，占规模以上工业增加值比重76.99%，较2015年增加10.33个百分点。高新技术产业和战略性新兴产业快速发展，2019年全区实现高新技术产品产值1485.96亿元，占工业总产值比重达到56.59%，较2015年增加5.7个百分点；2020年全区规模以上战略性新兴产业增加值达51.06亿元，较2015年增加2.88亿元，占规上工业增加值比重8.40%，较2015年增加0.17个百分点。先进装备制造业、高新技术产业和战略性新兴产业的快速发展，对花都区经济增长和结构优化的支撑作用进一步增强。</w:t>
      </w:r>
    </w:p>
    <w:p w14:paraId="3082C3A8">
      <w:pPr>
        <w:rPr>
          <w:rFonts w:ascii="仿宋" w:hAnsi="仿宋" w:eastAsia="仿宋"/>
          <w:b/>
          <w:bCs/>
          <w:sz w:val="32"/>
          <w:szCs w:val="32"/>
        </w:rPr>
      </w:pPr>
      <w:r>
        <w:drawing>
          <wp:inline distT="0" distB="0" distL="114300" distR="114300">
            <wp:extent cx="5271770" cy="2905125"/>
            <wp:effectExtent l="4445" t="4445" r="19685" b="5080"/>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95A4B21">
      <w:pPr>
        <w:jc w:val="center"/>
        <w:rPr>
          <w:rFonts w:ascii="仿宋_GB2312" w:hAnsi="仿宋" w:eastAsia="仿宋_GB2312"/>
          <w:b/>
          <w:bCs/>
          <w:sz w:val="28"/>
          <w:szCs w:val="28"/>
        </w:rPr>
      </w:pPr>
      <w:r>
        <w:rPr>
          <w:rFonts w:hint="eastAsia" w:ascii="仿宋_GB2312" w:hAnsi="仿宋" w:eastAsia="仿宋_GB2312"/>
          <w:b/>
          <w:bCs/>
          <w:sz w:val="28"/>
          <w:szCs w:val="28"/>
        </w:rPr>
        <w:t>图1-2 不同类型制造业占比</w:t>
      </w:r>
    </w:p>
    <w:p w14:paraId="569D0163">
      <w:pPr>
        <w:pStyle w:val="4"/>
        <w:spacing w:before="0" w:after="0" w:line="560" w:lineRule="exact"/>
        <w:ind w:firstLine="643" w:firstLineChars="200"/>
        <w:rPr>
          <w:rFonts w:ascii="仿宋_GB2312" w:hAnsi="Times New Roman" w:eastAsia="仿宋_GB2312"/>
          <w:bCs w:val="0"/>
        </w:rPr>
      </w:pPr>
      <w:bookmarkStart w:id="4" w:name="_Toc76826082"/>
      <w:r>
        <w:rPr>
          <w:rFonts w:hint="eastAsia" w:ascii="仿宋_GB2312" w:hAnsi="Times New Roman" w:eastAsia="仿宋_GB2312"/>
          <w:bCs w:val="0"/>
        </w:rPr>
        <w:t>3.重点产业发展势头强劲</w:t>
      </w:r>
      <w:bookmarkEnd w:id="4"/>
    </w:p>
    <w:p w14:paraId="7B155E09">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花都区先进制造业已经形成了汽车产业、飞机维修及制造、机车维修及制造、电子电器以及智能装备等产业全面发展的态势，新能源汽车、绿色智能装备等新兴产业也表现出强劲的发展势头。汽车产业支柱地位不断巩固，2020年汽车产业产值达1857.50亿元，“十三五”年均增长6.0%，现已成为华南地区汽车产业发展速度最快、产业链最完善的生产基地，拥有东风日产乘用车总部、东风启辰总部，并集聚了几百家零部件企业。汽车零部件企业总部集聚区被认定为广州市三大总部经济集聚区之一，花都汽车产业基地被认定为省级高新技术产业开发区。飞机及其零部件制造和维修产业发展形势良好，已引进广州新科宇航科技有限公司、广州飞机维修工程有限公司（GAMECO）等知名项目，深航、海航等航空分公司也已进驻，国家级飞机维修基地初具规模。机车修造产业取得积极成效，广州和谐型大功率机车修造基地被列入为广东省现代产业500强项目和广东省、广州市重点项目。电子电器业发展势头良好，集聚了国光电器、飞达、运生电器等一批业内龙头企业，形成了集研发、制造、销售、售后服务等于一体的完整产业链，形成了以国光工业园为主的产业研发基地，以及形成了以鸿利智汇、莱帝亚照明、亮美集灯饰、明道光电、添鑫光电、华信照明等一批LED及高新技术企业为代表的广州（花都）光电子产业基地。以机器人为代表的自动化智能化装备产业的快速发展，形成了以自动导引运输车（AGV）、焊接机器人等智能产品的系统集成为特色，面向汽车焊装、工厂自动化物流等领域的新兴装备产业，涌现出远能物流自动化设备科技有限公司、普华灵动机器人有限公司、德恒汽车装备科技有限公司等一批高成长性智能制造装备企业。皮革皮具产业技术创新和产业结构持续优化升级，现已建成了皮革皮具产业研究中心、国家皮革制品质量监督检验中心（广州）、TBT研究基地、中国皮具之都培训基地、中国皮具之都公共信息服务平台等多个平台项目。同时，以智能电子产业、新能源汽车为代表的战略性新兴产业加速崛起。花都智能电子绿色价值创新园突出总部集聚和创新引领，培育形成以新一代信息技术、智能制造和总部经济产业为主导的智能电子产业集群，力求打造成为华南地区具有影响力的智能电子信息产业基地；花都区与东风日产正在共同打造以整车测试、联合实验室、国际孵化器、双元制教育实践基地、科技产业园等为主要内容的汽车创新中心和智能网联综合测试示范区。</w:t>
      </w:r>
    </w:p>
    <w:p w14:paraId="408DF508">
      <w:pPr>
        <w:pStyle w:val="4"/>
        <w:spacing w:before="0" w:after="0" w:line="560" w:lineRule="exact"/>
        <w:ind w:firstLine="643" w:firstLineChars="200"/>
        <w:rPr>
          <w:rFonts w:ascii="仿宋_GB2312" w:hAnsi="Times New Roman" w:eastAsia="仿宋_GB2312"/>
          <w:bCs w:val="0"/>
        </w:rPr>
      </w:pPr>
      <w:bookmarkStart w:id="5" w:name="_Toc76826083"/>
      <w:r>
        <w:rPr>
          <w:rFonts w:hint="eastAsia" w:ascii="仿宋_GB2312" w:hAnsi="Times New Roman" w:eastAsia="仿宋_GB2312"/>
          <w:bCs w:val="0"/>
        </w:rPr>
        <w:t>4.产业创新持续推进</w:t>
      </w:r>
      <w:bookmarkEnd w:id="5"/>
    </w:p>
    <w:p w14:paraId="762EB47B">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2019年全区R&amp;D经费投入36.58亿元，较2015年增加10.8亿元，R&amp;D经费投入占GDP比重为2.34%。2020年全区专利技术合同成交额23.88亿元，是2015年的47.8倍（预估数）；专利申请量和专利授权量分别为21188件、13807件，较2015年分别增加14660件、9818件。“十三五”期</w:t>
      </w:r>
    </w:p>
    <w:p w14:paraId="6152D280">
      <w:r>
        <w:drawing>
          <wp:inline distT="0" distB="0" distL="114300" distR="114300">
            <wp:extent cx="5269230" cy="3071495"/>
            <wp:effectExtent l="4445" t="4445" r="22225" b="10160"/>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66156C">
      <w:pPr>
        <w:jc w:val="center"/>
        <w:rPr>
          <w:rFonts w:ascii="仿宋_GB2312" w:hAnsi="仿宋" w:eastAsia="仿宋_GB2312"/>
          <w:b/>
          <w:bCs/>
          <w:sz w:val="28"/>
          <w:szCs w:val="28"/>
        </w:rPr>
      </w:pPr>
      <w:r>
        <w:rPr>
          <w:rFonts w:hint="eastAsia" w:ascii="仿宋_GB2312" w:hAnsi="仿宋" w:eastAsia="仿宋_GB2312"/>
          <w:b/>
          <w:bCs/>
          <w:sz w:val="28"/>
          <w:szCs w:val="28"/>
        </w:rPr>
        <w:t>图1-3 2015-2019年花都R&amp;D经费投入和专利技术成交额情况</w:t>
      </w:r>
    </w:p>
    <w:p w14:paraId="77E9B2E0">
      <w:pPr>
        <w:spacing w:line="560" w:lineRule="exact"/>
        <w:rPr>
          <w:rFonts w:ascii="仿宋_GB2312" w:hAnsi="Times New Roman" w:eastAsia="仿宋_GB2312"/>
          <w:sz w:val="32"/>
          <w:szCs w:val="32"/>
        </w:rPr>
      </w:pPr>
      <w:r>
        <w:rPr>
          <w:rFonts w:hint="eastAsia" w:ascii="仿宋_GB2312" w:hAnsi="Times New Roman" w:eastAsia="仿宋_GB2312"/>
          <w:sz w:val="32"/>
          <w:szCs w:val="32"/>
        </w:rPr>
        <w:t>间，全区高新技术企业从117家增至767家，年均增长45.4% ；560（预估数）家规上工业企业建立研发机构，总量居全市第二；新增省级工程技术研发中心7家、省级孵化器</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家、省级众创空间2家；1家企业获国家科技进步奖，2家企业获省科技进步奖；新增国家知识产权示范企业1家、国家知识产权优势企业8家、省知识产权示范企业17家。涌现出栋方生物科技股份、尤特新材料、万世德智能装备科技等一批“两高四新”的先进制造业企业。“十三五”期间，花都区先进制造业与现代服务业加快融合，皮革皮具、珠宝等传统产业向服务型制造转型，涌现出一批工业设计、信息服务业、数据服务的服务型制造企业；花都荣获“中国美都”称号，全国首部直播电商标准在花都发布。</w:t>
      </w:r>
    </w:p>
    <w:p w14:paraId="6B6A80BB">
      <w:pPr>
        <w:jc w:val="center"/>
        <w:rPr>
          <w:rFonts w:ascii="仿宋_GB2312" w:hAnsi="仿宋" w:eastAsia="仿宋_GB2312"/>
          <w:b/>
          <w:bCs/>
          <w:sz w:val="28"/>
          <w:szCs w:val="28"/>
        </w:rPr>
      </w:pPr>
      <w:r>
        <w:drawing>
          <wp:inline distT="0" distB="0" distL="114300" distR="114300">
            <wp:extent cx="5270500" cy="3166745"/>
            <wp:effectExtent l="4445" t="4445" r="20955" b="10160"/>
            <wp:docPr id="410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7598B4">
      <w:pPr>
        <w:jc w:val="center"/>
        <w:rPr>
          <w:rFonts w:ascii="仿宋_GB2312" w:hAnsi="仿宋" w:eastAsia="仿宋_GB2312"/>
          <w:b/>
          <w:bCs/>
          <w:sz w:val="28"/>
          <w:szCs w:val="28"/>
        </w:rPr>
      </w:pPr>
      <w:r>
        <w:rPr>
          <w:rFonts w:hint="eastAsia" w:ascii="仿宋_GB2312" w:hAnsi="仿宋" w:eastAsia="仿宋_GB2312"/>
          <w:b/>
          <w:bCs/>
          <w:sz w:val="28"/>
          <w:szCs w:val="28"/>
        </w:rPr>
        <w:t>图1-4 2015-2019年花都高新技术企业及研发机构情况</w:t>
      </w:r>
    </w:p>
    <w:p w14:paraId="79F29FC1">
      <w:pPr>
        <w:pStyle w:val="4"/>
        <w:spacing w:before="0" w:after="0" w:line="560" w:lineRule="exact"/>
        <w:ind w:firstLine="643" w:firstLineChars="200"/>
        <w:rPr>
          <w:rFonts w:ascii="仿宋_GB2312" w:hAnsi="Times New Roman" w:eastAsia="仿宋_GB2312"/>
          <w:bCs w:val="0"/>
        </w:rPr>
      </w:pPr>
      <w:bookmarkStart w:id="6" w:name="_Toc76826084"/>
      <w:r>
        <w:rPr>
          <w:rFonts w:hint="eastAsia" w:ascii="仿宋_GB2312" w:hAnsi="Times New Roman" w:eastAsia="仿宋_GB2312"/>
          <w:bCs w:val="0"/>
        </w:rPr>
        <w:t>5.绿色发展取得积极成效</w:t>
      </w:r>
      <w:bookmarkEnd w:id="6"/>
    </w:p>
    <w:p w14:paraId="6DCECA1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“十三五”以来，顺应绿色发展趋势，深入实施绿色制造工程，</w:t>
      </w:r>
      <w:r>
        <w:rPr>
          <w:rFonts w:hint="eastAsia" w:ascii="仿宋_GB2312" w:hAnsi="Times New Roman" w:eastAsia="仿宋_GB2312"/>
          <w:color w:val="FF0000"/>
          <w:sz w:val="32"/>
          <w:szCs w:val="32"/>
        </w:rPr>
        <w:t>2020年规模以上企业单位工业增加值耗能较2015年下降超过***%。</w:t>
      </w:r>
      <w:r>
        <w:rPr>
          <w:rFonts w:hint="eastAsia" w:ascii="仿宋_GB2312" w:hAnsi="Times New Roman" w:eastAsia="仿宋_GB2312"/>
          <w:sz w:val="32"/>
          <w:szCs w:val="32"/>
        </w:rPr>
        <w:t>2020年，全区完成工业技改投资28.62亿元；累计备案工业技术改造投资项目244个，较2015年增长229.73%。皮革皮具、纺织服装、日化用品等传统行业绿色化改造稳步推进。积极推动企业上云上平台，2020年全区完成企业上云136家，较2018年增长277.78%，仅次于黄埔区，排名全市第二。借助花都获批“国家级绿色金融改革创新试验区”，出台了绿色金融“1+4”政策，极大的提高了对绿色产业的支持力度。其中，着力支持以新能源汽车为主的绿色制造业、以航空产业为主的临空经济以及以智能电子为主的战略性新兴产业，加快构建绿色产业体系。建设银行花都分行支持国光电器股份有限公司将传统电子产业园区改造升级为集智能电子、大数据、人工智能、智能制造、新能源五大产业于一体的绿色产业价值创新园区，累计向该项目发放4.4亿元的基准利率绿色贷款，助推花都绿色产业发展提速增质。</w:t>
      </w:r>
    </w:p>
    <w:p w14:paraId="43705638">
      <w:pPr>
        <w:pStyle w:val="4"/>
        <w:spacing w:before="0" w:after="0" w:line="560" w:lineRule="exact"/>
        <w:ind w:firstLine="643" w:firstLineChars="200"/>
        <w:rPr>
          <w:rFonts w:ascii="仿宋_GB2312" w:hAnsi="Times New Roman" w:eastAsia="仿宋_GB2312"/>
          <w:bCs w:val="0"/>
        </w:rPr>
      </w:pPr>
      <w:bookmarkStart w:id="7" w:name="_Toc76826085"/>
      <w:r>
        <w:rPr>
          <w:rFonts w:hint="eastAsia" w:ascii="仿宋_GB2312" w:hAnsi="Times New Roman" w:eastAsia="仿宋_GB2312"/>
          <w:bCs w:val="0"/>
        </w:rPr>
        <w:t>6.产业布局持续优化</w:t>
      </w:r>
      <w:bookmarkEnd w:id="7"/>
    </w:p>
    <w:p w14:paraId="7B433E2F">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三五”期间花都区先进制造业布局不断优化调整，产业集聚集约发展。在东部区域，依托机场高新科技产业基地、花都经济开发区、金田工业区、金谷工业区和北兴工业区等载体，形成了飞机修造、电子商务、现代物流等产业集群；依托中国电科华南电子信息产业园和国光智能电子产业园，形成了智能制造、新一代电子信息产业等产业集群。在西部区域，依托相对富裕的用地，以汽车产业基地、大功率机车修造基地及配套产业园、赤坭工业园、炭步工业园、茶塘工业区和大涡工业区为载体，形成了汽车制造、节能和新能源汽车、智能装备、轨道交通、机车维修等产业集群。在南部区域，依托以花都智能电子绿色价值创新园、中国电科华南电子信息产业园、国光智能电子产业园等主要载体，形成了智能装备和机器人、新一代信息技术产业集群。</w:t>
      </w:r>
    </w:p>
    <w:p w14:paraId="10B5FB2E">
      <w:pPr>
        <w:jc w:val="center"/>
        <w:rPr>
          <w:rFonts w:ascii="仿宋_GB2312" w:hAnsi="仿宋" w:eastAsia="仿宋_GB2312"/>
          <w:b/>
          <w:bCs/>
          <w:sz w:val="28"/>
          <w:szCs w:val="28"/>
        </w:rPr>
      </w:pPr>
      <w:r>
        <w:rPr>
          <w:rFonts w:hint="eastAsia" w:ascii="仿宋_GB2312" w:hAnsi="仿宋" w:eastAsia="仿宋_GB2312"/>
          <w:b/>
          <w:bCs/>
          <w:sz w:val="28"/>
          <w:szCs w:val="28"/>
        </w:rPr>
        <w:t>表</w:t>
      </w:r>
      <w:r>
        <w:rPr>
          <w:rFonts w:ascii="仿宋_GB2312" w:hAnsi="仿宋" w:eastAsia="仿宋_GB2312"/>
          <w:b/>
          <w:bCs/>
          <w:sz w:val="28"/>
          <w:szCs w:val="28"/>
        </w:rPr>
        <w:t xml:space="preserve">1-1 </w:t>
      </w:r>
      <w:r>
        <w:rPr>
          <w:rFonts w:hint="eastAsia" w:ascii="仿宋_GB2312" w:hAnsi="仿宋" w:eastAsia="仿宋_GB2312"/>
          <w:b/>
          <w:bCs/>
          <w:sz w:val="28"/>
          <w:szCs w:val="28"/>
        </w:rPr>
        <w:t>花都“十三五”时期先进制造业重点指标完成情况表</w:t>
      </w:r>
    </w:p>
    <w:tbl>
      <w:tblPr>
        <w:tblStyle w:val="9"/>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3"/>
        <w:gridCol w:w="3530"/>
        <w:gridCol w:w="1162"/>
        <w:gridCol w:w="1230"/>
        <w:gridCol w:w="990"/>
        <w:gridCol w:w="900"/>
      </w:tblGrid>
      <w:tr w14:paraId="7A00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restart"/>
            <w:shd w:val="clear" w:color="auto" w:fill="auto"/>
            <w:noWrap/>
            <w:tcMar>
              <w:top w:w="15" w:type="dxa"/>
              <w:left w:w="15" w:type="dxa"/>
              <w:right w:w="15" w:type="dxa"/>
            </w:tcMar>
            <w:vAlign w:val="center"/>
          </w:tcPr>
          <w:p w14:paraId="3791995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类别</w:t>
            </w:r>
          </w:p>
        </w:tc>
        <w:tc>
          <w:tcPr>
            <w:tcW w:w="3530" w:type="dxa"/>
            <w:vMerge w:val="restart"/>
            <w:shd w:val="clear" w:color="auto" w:fill="auto"/>
            <w:noWrap/>
            <w:tcMar>
              <w:top w:w="15" w:type="dxa"/>
              <w:left w:w="15" w:type="dxa"/>
              <w:right w:w="15" w:type="dxa"/>
            </w:tcMar>
            <w:vAlign w:val="center"/>
          </w:tcPr>
          <w:p w14:paraId="0534350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指标</w:t>
            </w:r>
          </w:p>
        </w:tc>
        <w:tc>
          <w:tcPr>
            <w:tcW w:w="2392" w:type="dxa"/>
            <w:gridSpan w:val="2"/>
            <w:shd w:val="clear" w:color="auto" w:fill="auto"/>
            <w:noWrap/>
            <w:tcMar>
              <w:top w:w="15" w:type="dxa"/>
              <w:left w:w="15" w:type="dxa"/>
              <w:right w:w="15" w:type="dxa"/>
            </w:tcMar>
            <w:vAlign w:val="center"/>
          </w:tcPr>
          <w:p w14:paraId="764F14C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“十三五”规划目标</w:t>
            </w:r>
          </w:p>
        </w:tc>
        <w:tc>
          <w:tcPr>
            <w:tcW w:w="1890" w:type="dxa"/>
            <w:gridSpan w:val="2"/>
            <w:shd w:val="clear" w:color="auto" w:fill="auto"/>
            <w:noWrap/>
            <w:tcMar>
              <w:top w:w="15" w:type="dxa"/>
              <w:left w:w="15" w:type="dxa"/>
              <w:right w:w="15" w:type="dxa"/>
            </w:tcMar>
            <w:vAlign w:val="center"/>
          </w:tcPr>
          <w:p w14:paraId="53BFCC3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“十三五”完成情况</w:t>
            </w:r>
          </w:p>
        </w:tc>
      </w:tr>
      <w:tr w14:paraId="79F4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continue"/>
            <w:shd w:val="clear" w:color="auto" w:fill="auto"/>
            <w:noWrap/>
            <w:tcMar>
              <w:top w:w="15" w:type="dxa"/>
              <w:left w:w="15" w:type="dxa"/>
              <w:right w:w="15" w:type="dxa"/>
            </w:tcMar>
            <w:vAlign w:val="center"/>
          </w:tcPr>
          <w:p w14:paraId="6182AC12">
            <w:pPr>
              <w:jc w:val="center"/>
              <w:rPr>
                <w:rFonts w:ascii="仿宋" w:hAnsi="仿宋" w:eastAsia="仿宋" w:cs="仿宋"/>
                <w:color w:val="000000"/>
                <w:sz w:val="24"/>
                <w:szCs w:val="24"/>
              </w:rPr>
            </w:pPr>
          </w:p>
        </w:tc>
        <w:tc>
          <w:tcPr>
            <w:tcW w:w="3530" w:type="dxa"/>
            <w:vMerge w:val="continue"/>
            <w:shd w:val="clear" w:color="auto" w:fill="auto"/>
            <w:noWrap/>
            <w:tcMar>
              <w:top w:w="15" w:type="dxa"/>
              <w:left w:w="15" w:type="dxa"/>
              <w:right w:w="15" w:type="dxa"/>
            </w:tcMar>
            <w:vAlign w:val="center"/>
          </w:tcPr>
          <w:p w14:paraId="3607146D">
            <w:pPr>
              <w:jc w:val="center"/>
              <w:rPr>
                <w:rFonts w:ascii="仿宋" w:hAnsi="仿宋" w:eastAsia="仿宋" w:cs="仿宋"/>
                <w:color w:val="000000"/>
                <w:sz w:val="24"/>
                <w:szCs w:val="24"/>
              </w:rPr>
            </w:pPr>
          </w:p>
        </w:tc>
        <w:tc>
          <w:tcPr>
            <w:tcW w:w="1162" w:type="dxa"/>
            <w:shd w:val="clear" w:color="auto" w:fill="auto"/>
            <w:noWrap/>
            <w:tcMar>
              <w:top w:w="15" w:type="dxa"/>
              <w:left w:w="15" w:type="dxa"/>
              <w:right w:w="15" w:type="dxa"/>
            </w:tcMar>
            <w:vAlign w:val="center"/>
          </w:tcPr>
          <w:p w14:paraId="45BA2CA7">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2020年</w:t>
            </w:r>
          </w:p>
        </w:tc>
        <w:tc>
          <w:tcPr>
            <w:tcW w:w="1230" w:type="dxa"/>
            <w:shd w:val="clear" w:color="auto" w:fill="auto"/>
            <w:noWrap/>
            <w:tcMar>
              <w:top w:w="15" w:type="dxa"/>
              <w:left w:w="15" w:type="dxa"/>
              <w:right w:w="15" w:type="dxa"/>
            </w:tcMar>
            <w:vAlign w:val="center"/>
          </w:tcPr>
          <w:p w14:paraId="3114A2C9">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年均增长（</w:t>
            </w:r>
            <w:r>
              <w:rPr>
                <w:rFonts w:ascii="仿宋" w:hAnsi="仿宋" w:eastAsia="仿宋" w:cs="仿宋"/>
                <w:color w:val="000000"/>
                <w:kern w:val="0"/>
                <w:sz w:val="24"/>
                <w:szCs w:val="24"/>
                <w:lang w:bidi="ar"/>
              </w:rPr>
              <w:t>%）</w:t>
            </w:r>
          </w:p>
        </w:tc>
        <w:tc>
          <w:tcPr>
            <w:tcW w:w="990" w:type="dxa"/>
            <w:shd w:val="clear" w:color="auto" w:fill="auto"/>
            <w:noWrap/>
            <w:tcMar>
              <w:top w:w="15" w:type="dxa"/>
              <w:left w:w="15" w:type="dxa"/>
              <w:right w:w="15" w:type="dxa"/>
            </w:tcMar>
            <w:vAlign w:val="center"/>
          </w:tcPr>
          <w:p w14:paraId="526EFA07">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2020年</w:t>
            </w:r>
          </w:p>
        </w:tc>
        <w:tc>
          <w:tcPr>
            <w:tcW w:w="900" w:type="dxa"/>
            <w:shd w:val="clear" w:color="auto" w:fill="auto"/>
            <w:noWrap/>
            <w:tcMar>
              <w:top w:w="15" w:type="dxa"/>
              <w:left w:w="15" w:type="dxa"/>
              <w:right w:w="15" w:type="dxa"/>
            </w:tcMar>
            <w:vAlign w:val="center"/>
          </w:tcPr>
          <w:p w14:paraId="05F6BD5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年均增长（</w:t>
            </w:r>
            <w:r>
              <w:rPr>
                <w:rFonts w:ascii="仿宋" w:hAnsi="仿宋" w:eastAsia="仿宋" w:cs="仿宋"/>
                <w:color w:val="000000"/>
                <w:kern w:val="0"/>
                <w:sz w:val="24"/>
                <w:szCs w:val="24"/>
                <w:lang w:bidi="ar"/>
              </w:rPr>
              <w:t>%）</w:t>
            </w:r>
          </w:p>
        </w:tc>
      </w:tr>
      <w:tr w14:paraId="6363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restart"/>
            <w:shd w:val="clear" w:color="auto" w:fill="auto"/>
            <w:noWrap/>
            <w:tcMar>
              <w:top w:w="15" w:type="dxa"/>
              <w:left w:w="15" w:type="dxa"/>
              <w:right w:w="15" w:type="dxa"/>
            </w:tcMar>
            <w:vAlign w:val="center"/>
          </w:tcPr>
          <w:p w14:paraId="2D5BD61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规模效益</w:t>
            </w:r>
          </w:p>
        </w:tc>
        <w:tc>
          <w:tcPr>
            <w:tcW w:w="3530" w:type="dxa"/>
            <w:shd w:val="clear" w:color="auto" w:fill="auto"/>
            <w:noWrap/>
            <w:tcMar>
              <w:top w:w="15" w:type="dxa"/>
              <w:left w:w="15" w:type="dxa"/>
              <w:right w:w="15" w:type="dxa"/>
            </w:tcMar>
            <w:vAlign w:val="center"/>
          </w:tcPr>
          <w:p w14:paraId="54BA0744">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工业总产值（亿元）</w:t>
            </w:r>
          </w:p>
        </w:tc>
        <w:tc>
          <w:tcPr>
            <w:tcW w:w="1162" w:type="dxa"/>
            <w:shd w:val="clear" w:color="auto" w:fill="auto"/>
            <w:noWrap/>
            <w:tcMar>
              <w:top w:w="15" w:type="dxa"/>
              <w:left w:w="15" w:type="dxa"/>
              <w:right w:w="15" w:type="dxa"/>
            </w:tcMar>
            <w:vAlign w:val="center"/>
          </w:tcPr>
          <w:p w14:paraId="4FCE2E4F">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2850</w:t>
            </w:r>
          </w:p>
        </w:tc>
        <w:tc>
          <w:tcPr>
            <w:tcW w:w="1230" w:type="dxa"/>
            <w:shd w:val="clear" w:color="auto" w:fill="auto"/>
            <w:noWrap/>
            <w:tcMar>
              <w:top w:w="15" w:type="dxa"/>
              <w:left w:w="15" w:type="dxa"/>
              <w:right w:w="15" w:type="dxa"/>
            </w:tcMar>
            <w:vAlign w:val="center"/>
          </w:tcPr>
          <w:p w14:paraId="1307AD8A">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5.5</w:t>
            </w:r>
          </w:p>
        </w:tc>
        <w:tc>
          <w:tcPr>
            <w:tcW w:w="990" w:type="dxa"/>
            <w:shd w:val="clear" w:color="auto" w:fill="auto"/>
            <w:noWrap/>
            <w:tcMar>
              <w:top w:w="15" w:type="dxa"/>
              <w:left w:w="15" w:type="dxa"/>
              <w:right w:w="15" w:type="dxa"/>
            </w:tcMar>
            <w:vAlign w:val="center"/>
          </w:tcPr>
          <w:p w14:paraId="69D2F82D">
            <w:pPr>
              <w:jc w:val="center"/>
              <w:rPr>
                <w:rFonts w:ascii="仿宋" w:hAnsi="仿宋" w:eastAsia="仿宋" w:cs="仿宋"/>
                <w:color w:val="000000"/>
                <w:sz w:val="24"/>
                <w:szCs w:val="24"/>
              </w:rPr>
            </w:pPr>
            <w:r>
              <w:rPr>
                <w:rFonts w:hint="eastAsia" w:ascii="仿宋" w:hAnsi="仿宋" w:eastAsia="仿宋" w:cs="仿宋"/>
                <w:color w:val="000000"/>
                <w:sz w:val="24"/>
                <w:szCs w:val="24"/>
              </w:rPr>
              <w:t>2668.21</w:t>
            </w:r>
          </w:p>
        </w:tc>
        <w:tc>
          <w:tcPr>
            <w:tcW w:w="900" w:type="dxa"/>
            <w:shd w:val="clear" w:color="auto" w:fill="auto"/>
            <w:noWrap/>
            <w:tcMar>
              <w:top w:w="15" w:type="dxa"/>
              <w:left w:w="15" w:type="dxa"/>
              <w:right w:w="15" w:type="dxa"/>
            </w:tcMar>
            <w:vAlign w:val="center"/>
          </w:tcPr>
          <w:p w14:paraId="1D12FDFD">
            <w:pPr>
              <w:jc w:val="center"/>
              <w:rPr>
                <w:rFonts w:ascii="仿宋" w:hAnsi="仿宋" w:eastAsia="仿宋" w:cs="仿宋"/>
                <w:color w:val="000000"/>
                <w:sz w:val="24"/>
                <w:szCs w:val="24"/>
              </w:rPr>
            </w:pPr>
            <w:r>
              <w:rPr>
                <w:rFonts w:hint="eastAsia" w:ascii="仿宋" w:hAnsi="仿宋" w:eastAsia="仿宋" w:cs="仿宋"/>
                <w:color w:val="000000"/>
                <w:sz w:val="24"/>
                <w:szCs w:val="24"/>
              </w:rPr>
              <w:t>6.5</w:t>
            </w:r>
          </w:p>
        </w:tc>
      </w:tr>
      <w:tr w14:paraId="299B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continue"/>
            <w:shd w:val="clear" w:color="auto" w:fill="auto"/>
            <w:noWrap/>
            <w:tcMar>
              <w:top w:w="15" w:type="dxa"/>
              <w:left w:w="15" w:type="dxa"/>
              <w:right w:w="15" w:type="dxa"/>
            </w:tcMar>
            <w:vAlign w:val="center"/>
          </w:tcPr>
          <w:p w14:paraId="5009AFF1">
            <w:pPr>
              <w:jc w:val="center"/>
              <w:rPr>
                <w:rFonts w:ascii="仿宋" w:hAnsi="仿宋" w:eastAsia="仿宋" w:cs="仿宋"/>
                <w:color w:val="000000"/>
                <w:sz w:val="24"/>
                <w:szCs w:val="24"/>
              </w:rPr>
            </w:pPr>
          </w:p>
        </w:tc>
        <w:tc>
          <w:tcPr>
            <w:tcW w:w="3530" w:type="dxa"/>
            <w:shd w:val="clear" w:color="auto" w:fill="auto"/>
            <w:noWrap/>
            <w:tcMar>
              <w:top w:w="15" w:type="dxa"/>
              <w:left w:w="15" w:type="dxa"/>
              <w:right w:w="15" w:type="dxa"/>
            </w:tcMar>
            <w:vAlign w:val="center"/>
          </w:tcPr>
          <w:p w14:paraId="687219A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工业增加值</w:t>
            </w:r>
          </w:p>
        </w:tc>
        <w:tc>
          <w:tcPr>
            <w:tcW w:w="1162" w:type="dxa"/>
            <w:shd w:val="clear" w:color="auto" w:fill="auto"/>
            <w:noWrap/>
            <w:tcMar>
              <w:top w:w="15" w:type="dxa"/>
              <w:left w:w="15" w:type="dxa"/>
              <w:right w:w="15" w:type="dxa"/>
            </w:tcMar>
            <w:vAlign w:val="center"/>
          </w:tcPr>
          <w:p w14:paraId="61379054">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730</w:t>
            </w:r>
          </w:p>
        </w:tc>
        <w:tc>
          <w:tcPr>
            <w:tcW w:w="1230" w:type="dxa"/>
            <w:shd w:val="clear" w:color="auto" w:fill="auto"/>
            <w:noWrap/>
            <w:tcMar>
              <w:top w:w="15" w:type="dxa"/>
              <w:left w:w="15" w:type="dxa"/>
              <w:right w:w="15" w:type="dxa"/>
            </w:tcMar>
            <w:vAlign w:val="center"/>
          </w:tcPr>
          <w:p w14:paraId="5B52B3A9">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5</w:t>
            </w:r>
          </w:p>
        </w:tc>
        <w:tc>
          <w:tcPr>
            <w:tcW w:w="990" w:type="dxa"/>
            <w:shd w:val="clear" w:color="auto" w:fill="auto"/>
            <w:noWrap/>
            <w:tcMar>
              <w:top w:w="15" w:type="dxa"/>
              <w:left w:w="15" w:type="dxa"/>
              <w:right w:w="15" w:type="dxa"/>
            </w:tcMar>
            <w:vAlign w:val="center"/>
          </w:tcPr>
          <w:p w14:paraId="0435E89A">
            <w:pPr>
              <w:jc w:val="center"/>
              <w:rPr>
                <w:rFonts w:ascii="仿宋" w:hAnsi="仿宋" w:eastAsia="仿宋" w:cs="仿宋"/>
                <w:color w:val="000000"/>
                <w:sz w:val="24"/>
                <w:szCs w:val="24"/>
              </w:rPr>
            </w:pPr>
            <w:r>
              <w:rPr>
                <w:rFonts w:hint="eastAsia" w:ascii="仿宋" w:hAnsi="仿宋" w:eastAsia="仿宋" w:cs="仿宋"/>
                <w:color w:val="000000"/>
                <w:sz w:val="24"/>
                <w:szCs w:val="24"/>
              </w:rPr>
              <w:t>607.85</w:t>
            </w:r>
          </w:p>
        </w:tc>
        <w:tc>
          <w:tcPr>
            <w:tcW w:w="900" w:type="dxa"/>
            <w:shd w:val="clear" w:color="auto" w:fill="auto"/>
            <w:noWrap/>
            <w:tcMar>
              <w:top w:w="15" w:type="dxa"/>
              <w:left w:w="15" w:type="dxa"/>
              <w:right w:w="15" w:type="dxa"/>
            </w:tcMar>
            <w:vAlign w:val="center"/>
          </w:tcPr>
          <w:p w14:paraId="4F7541CE">
            <w:pPr>
              <w:jc w:val="center"/>
              <w:rPr>
                <w:rFonts w:ascii="仿宋" w:hAnsi="仿宋" w:eastAsia="仿宋" w:cs="仿宋"/>
                <w:color w:val="000000"/>
                <w:sz w:val="24"/>
                <w:szCs w:val="24"/>
              </w:rPr>
            </w:pPr>
            <w:r>
              <w:rPr>
                <w:rFonts w:hint="eastAsia" w:ascii="仿宋" w:hAnsi="仿宋" w:eastAsia="仿宋" w:cs="仿宋"/>
                <w:color w:val="000000"/>
                <w:sz w:val="24"/>
                <w:szCs w:val="24"/>
              </w:rPr>
              <w:t>0.99</w:t>
            </w:r>
          </w:p>
        </w:tc>
      </w:tr>
      <w:tr w14:paraId="08CC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restart"/>
            <w:shd w:val="clear" w:color="auto" w:fill="auto"/>
            <w:noWrap/>
            <w:tcMar>
              <w:top w:w="15" w:type="dxa"/>
              <w:left w:w="15" w:type="dxa"/>
              <w:right w:w="15" w:type="dxa"/>
            </w:tcMar>
            <w:vAlign w:val="center"/>
          </w:tcPr>
          <w:p w14:paraId="028A061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结构优化</w:t>
            </w:r>
          </w:p>
        </w:tc>
        <w:tc>
          <w:tcPr>
            <w:tcW w:w="3530" w:type="dxa"/>
            <w:shd w:val="clear" w:color="auto" w:fill="auto"/>
            <w:noWrap/>
            <w:tcMar>
              <w:top w:w="15" w:type="dxa"/>
              <w:left w:w="15" w:type="dxa"/>
              <w:right w:w="15" w:type="dxa"/>
            </w:tcMar>
            <w:vAlign w:val="center"/>
          </w:tcPr>
          <w:p w14:paraId="59EAE7D0">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规上先进制造业增加值年均增长（</w:t>
            </w:r>
            <w:r>
              <w:rPr>
                <w:rFonts w:ascii="仿宋" w:hAnsi="仿宋" w:eastAsia="仿宋" w:cs="仿宋"/>
                <w:color w:val="000000"/>
                <w:kern w:val="0"/>
                <w:sz w:val="24"/>
                <w:szCs w:val="24"/>
                <w:lang w:bidi="ar"/>
              </w:rPr>
              <w:t>%）</w:t>
            </w:r>
          </w:p>
        </w:tc>
        <w:tc>
          <w:tcPr>
            <w:tcW w:w="1162" w:type="dxa"/>
            <w:shd w:val="clear" w:color="auto" w:fill="auto"/>
            <w:noWrap/>
            <w:tcMar>
              <w:top w:w="15" w:type="dxa"/>
              <w:left w:w="15" w:type="dxa"/>
              <w:right w:w="15" w:type="dxa"/>
            </w:tcMar>
            <w:vAlign w:val="center"/>
          </w:tcPr>
          <w:p w14:paraId="5514BA1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6.5</w:t>
            </w:r>
          </w:p>
        </w:tc>
        <w:tc>
          <w:tcPr>
            <w:tcW w:w="1230" w:type="dxa"/>
            <w:shd w:val="clear" w:color="auto" w:fill="auto"/>
            <w:noWrap/>
            <w:tcMar>
              <w:top w:w="15" w:type="dxa"/>
              <w:left w:w="15" w:type="dxa"/>
              <w:right w:w="15" w:type="dxa"/>
            </w:tcMar>
            <w:vAlign w:val="center"/>
          </w:tcPr>
          <w:p w14:paraId="5FE3DF06">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c>
          <w:tcPr>
            <w:tcW w:w="990" w:type="dxa"/>
            <w:shd w:val="clear" w:color="auto" w:fill="auto"/>
            <w:noWrap/>
            <w:tcMar>
              <w:top w:w="15" w:type="dxa"/>
              <w:left w:w="15" w:type="dxa"/>
              <w:right w:w="15" w:type="dxa"/>
            </w:tcMar>
            <w:vAlign w:val="center"/>
          </w:tcPr>
          <w:p w14:paraId="574FBDD1">
            <w:pPr>
              <w:jc w:val="center"/>
              <w:rPr>
                <w:rFonts w:ascii="仿宋" w:hAnsi="仿宋" w:eastAsia="仿宋" w:cs="仿宋"/>
                <w:color w:val="000000"/>
                <w:sz w:val="24"/>
                <w:szCs w:val="24"/>
              </w:rPr>
            </w:pPr>
            <w:r>
              <w:rPr>
                <w:rFonts w:hint="eastAsia" w:ascii="仿宋" w:hAnsi="仿宋" w:eastAsia="仿宋" w:cs="仿宋"/>
                <w:color w:val="000000"/>
                <w:sz w:val="24"/>
                <w:szCs w:val="24"/>
              </w:rPr>
              <w:t>4.4</w:t>
            </w:r>
          </w:p>
        </w:tc>
        <w:tc>
          <w:tcPr>
            <w:tcW w:w="900" w:type="dxa"/>
            <w:shd w:val="clear" w:color="auto" w:fill="auto"/>
            <w:noWrap/>
            <w:tcMar>
              <w:top w:w="15" w:type="dxa"/>
              <w:left w:w="15" w:type="dxa"/>
              <w:right w:w="15" w:type="dxa"/>
            </w:tcMar>
            <w:vAlign w:val="center"/>
          </w:tcPr>
          <w:p w14:paraId="1797CBBF">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r>
      <w:tr w14:paraId="21D5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continue"/>
            <w:shd w:val="clear" w:color="auto" w:fill="auto"/>
            <w:noWrap/>
            <w:tcMar>
              <w:top w:w="15" w:type="dxa"/>
              <w:left w:w="15" w:type="dxa"/>
              <w:right w:w="15" w:type="dxa"/>
            </w:tcMar>
            <w:vAlign w:val="center"/>
          </w:tcPr>
          <w:p w14:paraId="251C60DC">
            <w:pPr>
              <w:jc w:val="center"/>
              <w:rPr>
                <w:rFonts w:ascii="仿宋" w:hAnsi="仿宋" w:eastAsia="仿宋" w:cs="仿宋"/>
                <w:color w:val="000000"/>
                <w:sz w:val="24"/>
                <w:szCs w:val="24"/>
              </w:rPr>
            </w:pPr>
          </w:p>
        </w:tc>
        <w:tc>
          <w:tcPr>
            <w:tcW w:w="3530" w:type="dxa"/>
            <w:shd w:val="clear" w:color="auto" w:fill="auto"/>
            <w:noWrap/>
            <w:tcMar>
              <w:top w:w="15" w:type="dxa"/>
              <w:left w:w="15" w:type="dxa"/>
              <w:right w:w="15" w:type="dxa"/>
            </w:tcMar>
            <w:vAlign w:val="center"/>
          </w:tcPr>
          <w:p w14:paraId="4F27F413">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规上先进制造业增加值占规模以上工业增加值比重（%）</w:t>
            </w:r>
          </w:p>
        </w:tc>
        <w:tc>
          <w:tcPr>
            <w:tcW w:w="1162" w:type="dxa"/>
            <w:shd w:val="clear" w:color="auto" w:fill="auto"/>
            <w:noWrap/>
            <w:tcMar>
              <w:top w:w="15" w:type="dxa"/>
              <w:left w:w="15" w:type="dxa"/>
              <w:right w:w="15" w:type="dxa"/>
            </w:tcMar>
            <w:vAlign w:val="center"/>
          </w:tcPr>
          <w:p w14:paraId="2D9DAE65">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75</w:t>
            </w:r>
          </w:p>
        </w:tc>
        <w:tc>
          <w:tcPr>
            <w:tcW w:w="1230" w:type="dxa"/>
            <w:shd w:val="clear" w:color="auto" w:fill="auto"/>
            <w:noWrap/>
            <w:tcMar>
              <w:top w:w="15" w:type="dxa"/>
              <w:left w:w="15" w:type="dxa"/>
              <w:right w:w="15" w:type="dxa"/>
            </w:tcMar>
            <w:vAlign w:val="center"/>
          </w:tcPr>
          <w:p w14:paraId="35C6376D">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c>
          <w:tcPr>
            <w:tcW w:w="990" w:type="dxa"/>
            <w:shd w:val="clear" w:color="auto" w:fill="auto"/>
            <w:noWrap/>
            <w:tcMar>
              <w:top w:w="15" w:type="dxa"/>
              <w:left w:w="15" w:type="dxa"/>
              <w:right w:w="15" w:type="dxa"/>
            </w:tcMar>
            <w:vAlign w:val="center"/>
          </w:tcPr>
          <w:p w14:paraId="42615068">
            <w:pPr>
              <w:jc w:val="center"/>
              <w:rPr>
                <w:rFonts w:ascii="仿宋" w:hAnsi="仿宋" w:eastAsia="仿宋" w:cs="仿宋"/>
                <w:color w:val="000000"/>
                <w:sz w:val="24"/>
                <w:szCs w:val="24"/>
              </w:rPr>
            </w:pPr>
            <w:r>
              <w:rPr>
                <w:rFonts w:hint="eastAsia" w:ascii="仿宋" w:hAnsi="仿宋" w:eastAsia="仿宋" w:cs="仿宋"/>
                <w:color w:val="000000"/>
                <w:sz w:val="24"/>
                <w:szCs w:val="24"/>
              </w:rPr>
              <w:t>79.5</w:t>
            </w:r>
          </w:p>
        </w:tc>
        <w:tc>
          <w:tcPr>
            <w:tcW w:w="900" w:type="dxa"/>
            <w:shd w:val="clear" w:color="auto" w:fill="auto"/>
            <w:noWrap/>
            <w:tcMar>
              <w:top w:w="15" w:type="dxa"/>
              <w:left w:w="15" w:type="dxa"/>
              <w:right w:w="15" w:type="dxa"/>
            </w:tcMar>
            <w:vAlign w:val="center"/>
          </w:tcPr>
          <w:p w14:paraId="5B950EC9">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r>
      <w:tr w14:paraId="3D0B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continue"/>
            <w:shd w:val="clear" w:color="auto" w:fill="auto"/>
            <w:noWrap/>
            <w:tcMar>
              <w:top w:w="15" w:type="dxa"/>
              <w:left w:w="15" w:type="dxa"/>
              <w:right w:w="15" w:type="dxa"/>
            </w:tcMar>
            <w:vAlign w:val="center"/>
          </w:tcPr>
          <w:p w14:paraId="50F1C7C9">
            <w:pPr>
              <w:jc w:val="center"/>
              <w:rPr>
                <w:rFonts w:ascii="仿宋" w:hAnsi="仿宋" w:eastAsia="仿宋" w:cs="仿宋"/>
                <w:color w:val="000000"/>
                <w:sz w:val="24"/>
                <w:szCs w:val="24"/>
              </w:rPr>
            </w:pPr>
          </w:p>
        </w:tc>
        <w:tc>
          <w:tcPr>
            <w:tcW w:w="3530" w:type="dxa"/>
            <w:shd w:val="clear" w:color="auto" w:fill="auto"/>
            <w:noWrap/>
            <w:tcMar>
              <w:top w:w="15" w:type="dxa"/>
              <w:left w:w="15" w:type="dxa"/>
              <w:right w:w="15" w:type="dxa"/>
            </w:tcMar>
            <w:vAlign w:val="center"/>
          </w:tcPr>
          <w:p w14:paraId="7707885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规上新兴产业增加值年均增长（</w:t>
            </w:r>
            <w:r>
              <w:rPr>
                <w:rFonts w:ascii="仿宋" w:hAnsi="仿宋" w:eastAsia="仿宋" w:cs="仿宋"/>
                <w:color w:val="000000"/>
                <w:kern w:val="0"/>
                <w:sz w:val="24"/>
                <w:szCs w:val="24"/>
                <w:lang w:bidi="ar"/>
              </w:rPr>
              <w:t>%）</w:t>
            </w:r>
          </w:p>
        </w:tc>
        <w:tc>
          <w:tcPr>
            <w:tcW w:w="1162" w:type="dxa"/>
            <w:shd w:val="clear" w:color="auto" w:fill="auto"/>
            <w:noWrap/>
            <w:tcMar>
              <w:top w:w="15" w:type="dxa"/>
              <w:left w:w="15" w:type="dxa"/>
              <w:right w:w="15" w:type="dxa"/>
            </w:tcMar>
            <w:vAlign w:val="center"/>
          </w:tcPr>
          <w:p w14:paraId="0C6C35B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1230" w:type="dxa"/>
            <w:shd w:val="clear" w:color="auto" w:fill="auto"/>
            <w:noWrap/>
            <w:tcMar>
              <w:top w:w="15" w:type="dxa"/>
              <w:left w:w="15" w:type="dxa"/>
              <w:right w:w="15" w:type="dxa"/>
            </w:tcMar>
            <w:vAlign w:val="center"/>
          </w:tcPr>
          <w:p w14:paraId="53D534C3">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c>
          <w:tcPr>
            <w:tcW w:w="990" w:type="dxa"/>
            <w:shd w:val="clear" w:color="auto" w:fill="auto"/>
            <w:noWrap/>
            <w:tcMar>
              <w:top w:w="15" w:type="dxa"/>
              <w:left w:w="15" w:type="dxa"/>
              <w:right w:w="15" w:type="dxa"/>
            </w:tcMar>
            <w:vAlign w:val="center"/>
          </w:tcPr>
          <w:p w14:paraId="72BB09A5">
            <w:pPr>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900" w:type="dxa"/>
            <w:shd w:val="clear" w:color="auto" w:fill="auto"/>
            <w:noWrap/>
            <w:tcMar>
              <w:top w:w="15" w:type="dxa"/>
              <w:left w:w="15" w:type="dxa"/>
              <w:right w:w="15" w:type="dxa"/>
            </w:tcMar>
            <w:vAlign w:val="center"/>
          </w:tcPr>
          <w:p w14:paraId="07F27786">
            <w:pPr>
              <w:jc w:val="center"/>
              <w:rPr>
                <w:rFonts w:ascii="仿宋" w:hAnsi="仿宋" w:eastAsia="仿宋" w:cs="仿宋"/>
                <w:color w:val="FF0000"/>
                <w:sz w:val="24"/>
                <w:szCs w:val="24"/>
              </w:rPr>
            </w:pPr>
          </w:p>
        </w:tc>
      </w:tr>
      <w:tr w14:paraId="322E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continue"/>
            <w:shd w:val="clear" w:color="auto" w:fill="auto"/>
            <w:noWrap/>
            <w:tcMar>
              <w:top w:w="15" w:type="dxa"/>
              <w:left w:w="15" w:type="dxa"/>
              <w:right w:w="15" w:type="dxa"/>
            </w:tcMar>
            <w:vAlign w:val="center"/>
          </w:tcPr>
          <w:p w14:paraId="2A316E40">
            <w:pPr>
              <w:jc w:val="center"/>
              <w:rPr>
                <w:rFonts w:ascii="仿宋" w:hAnsi="仿宋" w:eastAsia="仿宋" w:cs="仿宋"/>
                <w:color w:val="000000"/>
                <w:sz w:val="24"/>
                <w:szCs w:val="24"/>
              </w:rPr>
            </w:pPr>
          </w:p>
        </w:tc>
        <w:tc>
          <w:tcPr>
            <w:tcW w:w="3530" w:type="dxa"/>
            <w:shd w:val="clear" w:color="auto" w:fill="auto"/>
            <w:noWrap/>
            <w:tcMar>
              <w:top w:w="15" w:type="dxa"/>
              <w:left w:w="15" w:type="dxa"/>
              <w:right w:w="15" w:type="dxa"/>
            </w:tcMar>
            <w:vAlign w:val="center"/>
          </w:tcPr>
          <w:p w14:paraId="3828BE01">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规上战略</w:t>
            </w:r>
            <w:r>
              <w:rPr>
                <w:rFonts w:hint="eastAsia" w:ascii="仿宋" w:hAnsi="仿宋" w:eastAsia="仿宋" w:cs="仿宋"/>
                <w:color w:val="000000"/>
                <w:kern w:val="0"/>
                <w:sz w:val="24"/>
                <w:szCs w:val="24"/>
                <w:lang w:val="en-US" w:eastAsia="zh-CN" w:bidi="ar"/>
              </w:rPr>
              <w:t>性</w:t>
            </w:r>
            <w:r>
              <w:rPr>
                <w:rFonts w:hint="eastAsia" w:ascii="仿宋" w:hAnsi="仿宋" w:eastAsia="仿宋" w:cs="仿宋"/>
                <w:color w:val="000000"/>
                <w:kern w:val="0"/>
                <w:sz w:val="24"/>
                <w:szCs w:val="24"/>
                <w:lang w:bidi="ar"/>
              </w:rPr>
              <w:t>新兴产业增加值占工业增加值比重（</w:t>
            </w:r>
            <w:r>
              <w:rPr>
                <w:rFonts w:ascii="仿宋" w:hAnsi="仿宋" w:eastAsia="仿宋" w:cs="仿宋"/>
                <w:color w:val="000000"/>
                <w:kern w:val="0"/>
                <w:sz w:val="24"/>
                <w:szCs w:val="24"/>
                <w:lang w:bidi="ar"/>
              </w:rPr>
              <w:t>%）</w:t>
            </w:r>
          </w:p>
        </w:tc>
        <w:tc>
          <w:tcPr>
            <w:tcW w:w="1162" w:type="dxa"/>
            <w:shd w:val="clear" w:color="auto" w:fill="auto"/>
            <w:noWrap/>
            <w:tcMar>
              <w:top w:w="15" w:type="dxa"/>
              <w:left w:w="15" w:type="dxa"/>
              <w:right w:w="15" w:type="dxa"/>
            </w:tcMar>
            <w:vAlign w:val="center"/>
          </w:tcPr>
          <w:p w14:paraId="79BEDA19">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10</w:t>
            </w:r>
          </w:p>
        </w:tc>
        <w:tc>
          <w:tcPr>
            <w:tcW w:w="1230" w:type="dxa"/>
            <w:shd w:val="clear" w:color="auto" w:fill="auto"/>
            <w:noWrap/>
            <w:tcMar>
              <w:top w:w="15" w:type="dxa"/>
              <w:left w:w="15" w:type="dxa"/>
              <w:right w:w="15" w:type="dxa"/>
            </w:tcMar>
            <w:vAlign w:val="center"/>
          </w:tcPr>
          <w:p w14:paraId="6767D24E">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c>
          <w:tcPr>
            <w:tcW w:w="990" w:type="dxa"/>
            <w:shd w:val="clear" w:color="auto" w:fill="auto"/>
            <w:noWrap/>
            <w:tcMar>
              <w:top w:w="15" w:type="dxa"/>
              <w:left w:w="15" w:type="dxa"/>
              <w:right w:w="15" w:type="dxa"/>
            </w:tcMar>
            <w:vAlign w:val="center"/>
          </w:tcPr>
          <w:p w14:paraId="3A699305">
            <w:pPr>
              <w:jc w:val="center"/>
              <w:rPr>
                <w:rFonts w:ascii="仿宋" w:hAnsi="仿宋" w:eastAsia="仿宋" w:cs="仿宋"/>
                <w:color w:val="000000"/>
                <w:sz w:val="24"/>
                <w:szCs w:val="24"/>
              </w:rPr>
            </w:pPr>
            <w:r>
              <w:rPr>
                <w:rFonts w:hint="eastAsia" w:ascii="仿宋" w:hAnsi="仿宋" w:eastAsia="仿宋" w:cs="仿宋"/>
                <w:color w:val="000000"/>
                <w:sz w:val="24"/>
                <w:szCs w:val="24"/>
              </w:rPr>
              <w:t>8.4</w:t>
            </w:r>
          </w:p>
        </w:tc>
        <w:tc>
          <w:tcPr>
            <w:tcW w:w="900" w:type="dxa"/>
            <w:shd w:val="clear" w:color="auto" w:fill="auto"/>
            <w:noWrap/>
            <w:tcMar>
              <w:top w:w="15" w:type="dxa"/>
              <w:left w:w="15" w:type="dxa"/>
              <w:right w:w="15" w:type="dxa"/>
            </w:tcMar>
            <w:vAlign w:val="center"/>
          </w:tcPr>
          <w:p w14:paraId="0E8B8248">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r>
      <w:tr w14:paraId="0148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restart"/>
            <w:shd w:val="clear" w:color="auto" w:fill="auto"/>
            <w:noWrap/>
            <w:tcMar>
              <w:top w:w="15" w:type="dxa"/>
              <w:left w:w="15" w:type="dxa"/>
              <w:right w:w="15" w:type="dxa"/>
            </w:tcMar>
            <w:vAlign w:val="center"/>
          </w:tcPr>
          <w:p w14:paraId="0E499948">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创新能力</w:t>
            </w:r>
          </w:p>
        </w:tc>
        <w:tc>
          <w:tcPr>
            <w:tcW w:w="3530" w:type="dxa"/>
            <w:shd w:val="clear" w:color="auto" w:fill="auto"/>
            <w:noWrap/>
            <w:tcMar>
              <w:top w:w="15" w:type="dxa"/>
              <w:left w:w="15" w:type="dxa"/>
              <w:right w:w="15" w:type="dxa"/>
            </w:tcMar>
            <w:vAlign w:val="center"/>
          </w:tcPr>
          <w:p w14:paraId="570C76AD">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工业企业研发经费投入（亿元）</w:t>
            </w:r>
          </w:p>
        </w:tc>
        <w:tc>
          <w:tcPr>
            <w:tcW w:w="1162" w:type="dxa"/>
            <w:shd w:val="clear" w:color="auto" w:fill="auto"/>
            <w:noWrap/>
            <w:tcMar>
              <w:top w:w="15" w:type="dxa"/>
              <w:left w:w="15" w:type="dxa"/>
              <w:right w:w="15" w:type="dxa"/>
            </w:tcMar>
            <w:vAlign w:val="center"/>
          </w:tcPr>
          <w:p w14:paraId="26CF9AF5">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25</w:t>
            </w:r>
          </w:p>
        </w:tc>
        <w:tc>
          <w:tcPr>
            <w:tcW w:w="1230" w:type="dxa"/>
            <w:shd w:val="clear" w:color="auto" w:fill="auto"/>
            <w:noWrap/>
            <w:tcMar>
              <w:top w:w="15" w:type="dxa"/>
              <w:left w:w="15" w:type="dxa"/>
              <w:right w:w="15" w:type="dxa"/>
            </w:tcMar>
            <w:vAlign w:val="center"/>
          </w:tcPr>
          <w:p w14:paraId="21487274">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3.2</w:t>
            </w:r>
          </w:p>
        </w:tc>
        <w:tc>
          <w:tcPr>
            <w:tcW w:w="990" w:type="dxa"/>
            <w:shd w:val="clear" w:color="auto" w:fill="auto"/>
            <w:noWrap/>
            <w:tcMar>
              <w:top w:w="15" w:type="dxa"/>
              <w:left w:w="15" w:type="dxa"/>
              <w:right w:w="15" w:type="dxa"/>
            </w:tcMar>
            <w:vAlign w:val="center"/>
          </w:tcPr>
          <w:p w14:paraId="3EFDCF96">
            <w:pPr>
              <w:jc w:val="center"/>
              <w:rPr>
                <w:rFonts w:ascii="仿宋" w:hAnsi="仿宋" w:eastAsia="仿宋" w:cs="仿宋"/>
                <w:color w:val="000000"/>
                <w:sz w:val="24"/>
                <w:szCs w:val="24"/>
              </w:rPr>
            </w:pPr>
          </w:p>
        </w:tc>
        <w:tc>
          <w:tcPr>
            <w:tcW w:w="900" w:type="dxa"/>
            <w:shd w:val="clear" w:color="auto" w:fill="auto"/>
            <w:noWrap/>
            <w:tcMar>
              <w:top w:w="15" w:type="dxa"/>
              <w:left w:w="15" w:type="dxa"/>
              <w:right w:w="15" w:type="dxa"/>
            </w:tcMar>
            <w:vAlign w:val="center"/>
          </w:tcPr>
          <w:p w14:paraId="0786C6AF">
            <w:pPr>
              <w:jc w:val="center"/>
              <w:rPr>
                <w:rFonts w:ascii="仿宋" w:hAnsi="仿宋" w:eastAsia="仿宋" w:cs="仿宋"/>
                <w:color w:val="FF0000"/>
                <w:sz w:val="24"/>
                <w:szCs w:val="24"/>
              </w:rPr>
            </w:pPr>
          </w:p>
        </w:tc>
      </w:tr>
      <w:tr w14:paraId="1C42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continue"/>
            <w:shd w:val="clear" w:color="auto" w:fill="auto"/>
            <w:noWrap/>
            <w:tcMar>
              <w:top w:w="15" w:type="dxa"/>
              <w:left w:w="15" w:type="dxa"/>
              <w:right w:w="15" w:type="dxa"/>
            </w:tcMar>
            <w:vAlign w:val="center"/>
          </w:tcPr>
          <w:p w14:paraId="6485963C">
            <w:pPr>
              <w:jc w:val="center"/>
              <w:rPr>
                <w:rFonts w:ascii="仿宋" w:hAnsi="仿宋" w:eastAsia="仿宋" w:cs="仿宋"/>
                <w:color w:val="000000"/>
                <w:sz w:val="24"/>
                <w:szCs w:val="24"/>
              </w:rPr>
            </w:pPr>
          </w:p>
        </w:tc>
        <w:tc>
          <w:tcPr>
            <w:tcW w:w="3530" w:type="dxa"/>
            <w:shd w:val="clear" w:color="auto" w:fill="auto"/>
            <w:noWrap/>
            <w:tcMar>
              <w:top w:w="15" w:type="dxa"/>
              <w:left w:w="15" w:type="dxa"/>
              <w:right w:w="15" w:type="dxa"/>
            </w:tcMar>
            <w:vAlign w:val="center"/>
          </w:tcPr>
          <w:p w14:paraId="79D389BF">
            <w:pPr>
              <w:widowControl/>
              <w:jc w:val="left"/>
              <w:textAlignment w:val="center"/>
              <w:rPr>
                <w:rFonts w:ascii="仿宋" w:hAnsi="仿宋" w:eastAsia="仿宋" w:cs="仿宋"/>
                <w:color w:val="FF0000"/>
                <w:sz w:val="24"/>
                <w:szCs w:val="24"/>
              </w:rPr>
            </w:pPr>
            <w:r>
              <w:rPr>
                <w:rFonts w:hint="eastAsia" w:ascii="仿宋" w:hAnsi="仿宋" w:eastAsia="仿宋" w:cs="仿宋"/>
                <w:color w:val="FF0000"/>
                <w:kern w:val="0"/>
                <w:sz w:val="24"/>
                <w:szCs w:val="24"/>
                <w:lang w:bidi="ar"/>
              </w:rPr>
              <w:t>全社会万人发明专利拥有量（件）</w:t>
            </w:r>
          </w:p>
        </w:tc>
        <w:tc>
          <w:tcPr>
            <w:tcW w:w="1162" w:type="dxa"/>
            <w:shd w:val="clear" w:color="auto" w:fill="auto"/>
            <w:noWrap/>
            <w:tcMar>
              <w:top w:w="15" w:type="dxa"/>
              <w:left w:w="15" w:type="dxa"/>
              <w:right w:w="15" w:type="dxa"/>
            </w:tcMar>
            <w:vAlign w:val="center"/>
          </w:tcPr>
          <w:p w14:paraId="644EB1A4">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25</w:t>
            </w:r>
          </w:p>
        </w:tc>
        <w:tc>
          <w:tcPr>
            <w:tcW w:w="1230" w:type="dxa"/>
            <w:shd w:val="clear" w:color="auto" w:fill="auto"/>
            <w:noWrap/>
            <w:tcMar>
              <w:top w:w="15" w:type="dxa"/>
              <w:left w:w="15" w:type="dxa"/>
              <w:right w:w="15" w:type="dxa"/>
            </w:tcMar>
            <w:vAlign w:val="center"/>
          </w:tcPr>
          <w:p w14:paraId="77BCDFBF">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c>
          <w:tcPr>
            <w:tcW w:w="990" w:type="dxa"/>
            <w:shd w:val="clear" w:color="auto" w:fill="auto"/>
            <w:noWrap/>
            <w:tcMar>
              <w:top w:w="15" w:type="dxa"/>
              <w:left w:w="15" w:type="dxa"/>
              <w:right w:w="15" w:type="dxa"/>
            </w:tcMar>
            <w:vAlign w:val="center"/>
          </w:tcPr>
          <w:p w14:paraId="440D3EF0">
            <w:pPr>
              <w:jc w:val="center"/>
              <w:rPr>
                <w:rFonts w:ascii="仿宋" w:hAnsi="仿宋" w:eastAsia="仿宋" w:cs="仿宋"/>
                <w:color w:val="000000"/>
                <w:sz w:val="24"/>
                <w:szCs w:val="24"/>
              </w:rPr>
            </w:pPr>
          </w:p>
        </w:tc>
        <w:tc>
          <w:tcPr>
            <w:tcW w:w="900" w:type="dxa"/>
            <w:shd w:val="clear" w:color="auto" w:fill="auto"/>
            <w:noWrap/>
            <w:tcMar>
              <w:top w:w="15" w:type="dxa"/>
              <w:left w:w="15" w:type="dxa"/>
              <w:right w:w="15" w:type="dxa"/>
            </w:tcMar>
            <w:vAlign w:val="center"/>
          </w:tcPr>
          <w:p w14:paraId="1F04B51E">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r>
      <w:tr w14:paraId="7A5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continue"/>
            <w:shd w:val="clear" w:color="auto" w:fill="auto"/>
            <w:noWrap/>
            <w:tcMar>
              <w:top w:w="15" w:type="dxa"/>
              <w:left w:w="15" w:type="dxa"/>
              <w:right w:w="15" w:type="dxa"/>
            </w:tcMar>
            <w:vAlign w:val="center"/>
          </w:tcPr>
          <w:p w14:paraId="43DA6BB2">
            <w:pPr>
              <w:jc w:val="center"/>
              <w:rPr>
                <w:rFonts w:ascii="仿宋" w:hAnsi="仿宋" w:eastAsia="仿宋" w:cs="仿宋"/>
                <w:color w:val="000000"/>
                <w:sz w:val="24"/>
                <w:szCs w:val="24"/>
              </w:rPr>
            </w:pPr>
          </w:p>
        </w:tc>
        <w:tc>
          <w:tcPr>
            <w:tcW w:w="3530" w:type="dxa"/>
            <w:shd w:val="clear" w:color="auto" w:fill="auto"/>
            <w:noWrap/>
            <w:tcMar>
              <w:top w:w="15" w:type="dxa"/>
              <w:left w:w="15" w:type="dxa"/>
              <w:right w:w="15" w:type="dxa"/>
            </w:tcMar>
            <w:vAlign w:val="center"/>
          </w:tcPr>
          <w:p w14:paraId="7B6968E4">
            <w:pPr>
              <w:widowControl/>
              <w:jc w:val="left"/>
              <w:textAlignment w:val="center"/>
              <w:rPr>
                <w:rFonts w:ascii="仿宋" w:hAnsi="仿宋" w:eastAsia="仿宋" w:cs="仿宋"/>
                <w:color w:val="FF0000"/>
                <w:sz w:val="24"/>
                <w:szCs w:val="24"/>
              </w:rPr>
            </w:pPr>
            <w:r>
              <w:rPr>
                <w:rFonts w:ascii="仿宋" w:hAnsi="仿宋" w:eastAsia="仿宋" w:cs="仿宋"/>
                <w:color w:val="FF0000"/>
                <w:kern w:val="0"/>
                <w:sz w:val="24"/>
                <w:szCs w:val="24"/>
                <w:lang w:bidi="ar"/>
              </w:rPr>
              <w:t>PCT国际专利申请量（件）</w:t>
            </w:r>
          </w:p>
        </w:tc>
        <w:tc>
          <w:tcPr>
            <w:tcW w:w="1162" w:type="dxa"/>
            <w:shd w:val="clear" w:color="auto" w:fill="auto"/>
            <w:noWrap/>
            <w:tcMar>
              <w:top w:w="15" w:type="dxa"/>
              <w:left w:w="15" w:type="dxa"/>
              <w:right w:w="15" w:type="dxa"/>
            </w:tcMar>
            <w:vAlign w:val="center"/>
          </w:tcPr>
          <w:p w14:paraId="01B68BD2">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100</w:t>
            </w:r>
          </w:p>
        </w:tc>
        <w:tc>
          <w:tcPr>
            <w:tcW w:w="1230" w:type="dxa"/>
            <w:shd w:val="clear" w:color="auto" w:fill="auto"/>
            <w:noWrap/>
            <w:tcMar>
              <w:top w:w="15" w:type="dxa"/>
              <w:left w:w="15" w:type="dxa"/>
              <w:right w:w="15" w:type="dxa"/>
            </w:tcMar>
            <w:vAlign w:val="center"/>
          </w:tcPr>
          <w:p w14:paraId="2606694D">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c>
          <w:tcPr>
            <w:tcW w:w="990" w:type="dxa"/>
            <w:shd w:val="clear" w:color="auto" w:fill="auto"/>
            <w:noWrap/>
            <w:tcMar>
              <w:top w:w="15" w:type="dxa"/>
              <w:left w:w="15" w:type="dxa"/>
              <w:right w:w="15" w:type="dxa"/>
            </w:tcMar>
            <w:vAlign w:val="center"/>
          </w:tcPr>
          <w:p w14:paraId="11803FE8">
            <w:pPr>
              <w:jc w:val="center"/>
              <w:rPr>
                <w:rFonts w:ascii="仿宋" w:hAnsi="仿宋" w:eastAsia="仿宋" w:cs="仿宋"/>
                <w:color w:val="000000"/>
                <w:sz w:val="24"/>
                <w:szCs w:val="24"/>
              </w:rPr>
            </w:pPr>
          </w:p>
        </w:tc>
        <w:tc>
          <w:tcPr>
            <w:tcW w:w="900" w:type="dxa"/>
            <w:shd w:val="clear" w:color="auto" w:fill="auto"/>
            <w:noWrap/>
            <w:tcMar>
              <w:top w:w="15" w:type="dxa"/>
              <w:left w:w="15" w:type="dxa"/>
              <w:right w:w="15" w:type="dxa"/>
            </w:tcMar>
            <w:vAlign w:val="center"/>
          </w:tcPr>
          <w:p w14:paraId="6A10E32B">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r>
      <w:tr w14:paraId="6470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13" w:type="dxa"/>
            <w:vMerge w:val="continue"/>
            <w:shd w:val="clear" w:color="auto" w:fill="auto"/>
            <w:noWrap/>
            <w:tcMar>
              <w:top w:w="15" w:type="dxa"/>
              <w:left w:w="15" w:type="dxa"/>
              <w:right w:w="15" w:type="dxa"/>
            </w:tcMar>
            <w:vAlign w:val="center"/>
          </w:tcPr>
          <w:p w14:paraId="261480AA">
            <w:pPr>
              <w:jc w:val="center"/>
              <w:rPr>
                <w:rFonts w:ascii="仿宋" w:hAnsi="仿宋" w:eastAsia="仿宋" w:cs="仿宋"/>
                <w:color w:val="000000"/>
                <w:sz w:val="24"/>
                <w:szCs w:val="24"/>
              </w:rPr>
            </w:pPr>
          </w:p>
        </w:tc>
        <w:tc>
          <w:tcPr>
            <w:tcW w:w="3530" w:type="dxa"/>
            <w:shd w:val="clear" w:color="auto" w:fill="auto"/>
            <w:noWrap/>
            <w:tcMar>
              <w:top w:w="15" w:type="dxa"/>
              <w:left w:w="15" w:type="dxa"/>
              <w:right w:w="15" w:type="dxa"/>
            </w:tcMar>
            <w:vAlign w:val="center"/>
          </w:tcPr>
          <w:p w14:paraId="79EFC2C8">
            <w:pPr>
              <w:widowControl/>
              <w:jc w:val="left"/>
              <w:textAlignment w:val="center"/>
              <w:rPr>
                <w:rFonts w:ascii="仿宋" w:hAnsi="仿宋" w:eastAsia="仿宋" w:cs="仿宋"/>
                <w:color w:val="FF0000"/>
                <w:sz w:val="24"/>
                <w:szCs w:val="24"/>
              </w:rPr>
            </w:pPr>
            <w:r>
              <w:rPr>
                <w:rFonts w:hint="eastAsia" w:ascii="仿宋" w:hAnsi="仿宋" w:eastAsia="仿宋" w:cs="仿宋"/>
                <w:color w:val="FF0000"/>
                <w:kern w:val="0"/>
                <w:sz w:val="24"/>
                <w:szCs w:val="24"/>
                <w:lang w:bidi="ar"/>
              </w:rPr>
              <w:t>高新技术产品产值占工业总产值比重（</w:t>
            </w:r>
            <w:r>
              <w:rPr>
                <w:rFonts w:ascii="仿宋" w:hAnsi="仿宋" w:eastAsia="仿宋" w:cs="仿宋"/>
                <w:color w:val="FF0000"/>
                <w:kern w:val="0"/>
                <w:sz w:val="24"/>
                <w:szCs w:val="24"/>
                <w:lang w:bidi="ar"/>
              </w:rPr>
              <w:t>%）</w:t>
            </w:r>
          </w:p>
        </w:tc>
        <w:tc>
          <w:tcPr>
            <w:tcW w:w="1162" w:type="dxa"/>
            <w:shd w:val="clear" w:color="auto" w:fill="auto"/>
            <w:noWrap/>
            <w:tcMar>
              <w:top w:w="15" w:type="dxa"/>
              <w:left w:w="15" w:type="dxa"/>
              <w:right w:w="15" w:type="dxa"/>
            </w:tcMar>
            <w:vAlign w:val="center"/>
          </w:tcPr>
          <w:p w14:paraId="4C980848">
            <w:pPr>
              <w:widowControl/>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55</w:t>
            </w:r>
          </w:p>
        </w:tc>
        <w:tc>
          <w:tcPr>
            <w:tcW w:w="1230" w:type="dxa"/>
            <w:shd w:val="clear" w:color="auto" w:fill="auto"/>
            <w:noWrap/>
            <w:tcMar>
              <w:top w:w="15" w:type="dxa"/>
              <w:left w:w="15" w:type="dxa"/>
              <w:right w:w="15" w:type="dxa"/>
            </w:tcMar>
            <w:vAlign w:val="center"/>
          </w:tcPr>
          <w:p w14:paraId="508080F0">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c>
          <w:tcPr>
            <w:tcW w:w="990" w:type="dxa"/>
            <w:shd w:val="clear" w:color="auto" w:fill="auto"/>
            <w:noWrap/>
            <w:tcMar>
              <w:top w:w="15" w:type="dxa"/>
              <w:left w:w="15" w:type="dxa"/>
              <w:right w:w="15" w:type="dxa"/>
            </w:tcMar>
            <w:vAlign w:val="center"/>
          </w:tcPr>
          <w:p w14:paraId="55E9BB2B">
            <w:pPr>
              <w:jc w:val="center"/>
              <w:rPr>
                <w:rFonts w:ascii="仿宋" w:hAnsi="仿宋" w:eastAsia="仿宋" w:cs="仿宋"/>
                <w:color w:val="000000"/>
                <w:sz w:val="24"/>
                <w:szCs w:val="24"/>
              </w:rPr>
            </w:pPr>
          </w:p>
        </w:tc>
        <w:tc>
          <w:tcPr>
            <w:tcW w:w="900" w:type="dxa"/>
            <w:shd w:val="clear" w:color="auto" w:fill="auto"/>
            <w:noWrap/>
            <w:tcMar>
              <w:top w:w="15" w:type="dxa"/>
              <w:left w:w="15" w:type="dxa"/>
              <w:right w:w="15" w:type="dxa"/>
            </w:tcMar>
            <w:vAlign w:val="center"/>
          </w:tcPr>
          <w:p w14:paraId="2A251DAF">
            <w:pPr>
              <w:jc w:val="center"/>
              <w:rPr>
                <w:rFonts w:ascii="仿宋" w:hAnsi="仿宋" w:eastAsia="仿宋" w:cs="仿宋"/>
                <w:color w:val="FF0000"/>
                <w:sz w:val="24"/>
                <w:szCs w:val="24"/>
              </w:rPr>
            </w:pPr>
            <w:r>
              <w:rPr>
                <w:rFonts w:hint="eastAsia" w:ascii="仿宋" w:hAnsi="仿宋" w:eastAsia="仿宋" w:cs="仿宋"/>
                <w:color w:val="FF0000"/>
                <w:sz w:val="24"/>
                <w:szCs w:val="24"/>
              </w:rPr>
              <w:t>--</w:t>
            </w:r>
          </w:p>
        </w:tc>
      </w:tr>
    </w:tbl>
    <w:p w14:paraId="5E0A9352">
      <w:pPr>
        <w:rPr>
          <w:rFonts w:ascii="仿宋_GB2312" w:hAnsi="Times New Roman" w:eastAsia="仿宋_GB2312"/>
          <w:sz w:val="32"/>
          <w:szCs w:val="32"/>
        </w:rPr>
      </w:pPr>
    </w:p>
    <w:p w14:paraId="6C2FA912">
      <w:pPr>
        <w:pStyle w:val="2"/>
        <w:spacing w:before="0" w:after="0" w:line="560" w:lineRule="exact"/>
        <w:ind w:firstLine="643" w:firstLineChars="200"/>
        <w:rPr>
          <w:rFonts w:ascii="楷体_GB2312" w:hAnsi="仿宋" w:eastAsia="楷体_GB2312"/>
        </w:rPr>
      </w:pPr>
      <w:bookmarkStart w:id="8" w:name="_Toc76826086"/>
      <w:r>
        <w:rPr>
          <w:rFonts w:ascii="楷体_GB2312" w:hAnsi="仿宋" w:eastAsia="楷体_GB2312"/>
        </w:rPr>
        <w:t>（二）</w:t>
      </w:r>
      <w:r>
        <w:rPr>
          <w:rFonts w:hint="eastAsia" w:ascii="楷体_GB2312" w:hAnsi="仿宋" w:eastAsia="楷体_GB2312"/>
        </w:rPr>
        <w:t>存在的主要</w:t>
      </w:r>
      <w:r>
        <w:rPr>
          <w:rFonts w:ascii="楷体_GB2312" w:hAnsi="仿宋" w:eastAsia="楷体_GB2312"/>
        </w:rPr>
        <w:t>问题</w:t>
      </w:r>
      <w:bookmarkEnd w:id="8"/>
    </w:p>
    <w:p w14:paraId="4D3613AF">
      <w:pPr>
        <w:pStyle w:val="4"/>
        <w:spacing w:before="0" w:after="0" w:line="560" w:lineRule="exact"/>
        <w:ind w:firstLine="643" w:firstLineChars="200"/>
        <w:rPr>
          <w:rFonts w:ascii="仿宋_GB2312" w:hAnsi="Times New Roman" w:eastAsia="仿宋_GB2312"/>
          <w:bCs w:val="0"/>
        </w:rPr>
      </w:pPr>
      <w:bookmarkStart w:id="9" w:name="_Toc76826087"/>
      <w:r>
        <w:rPr>
          <w:rFonts w:hint="eastAsia" w:ascii="仿宋_GB2312" w:hAnsi="Times New Roman" w:eastAsia="仿宋_GB2312"/>
          <w:bCs w:val="0"/>
        </w:rPr>
        <w:t>1.工业</w:t>
      </w:r>
      <w:r>
        <w:rPr>
          <w:rFonts w:ascii="仿宋_GB2312" w:hAnsi="Times New Roman" w:eastAsia="仿宋_GB2312"/>
          <w:bCs w:val="0"/>
        </w:rPr>
        <w:t>结构</w:t>
      </w:r>
      <w:r>
        <w:rPr>
          <w:rFonts w:hint="eastAsia" w:ascii="仿宋_GB2312" w:hAnsi="Times New Roman" w:eastAsia="仿宋_GB2312"/>
          <w:bCs w:val="0"/>
        </w:rPr>
        <w:t>不平衡</w:t>
      </w:r>
      <w:bookmarkEnd w:id="9"/>
    </w:p>
    <w:p w14:paraId="1468CA29">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全区工业增长过于依赖汽车产业的发展格局未有根本性转变，在全区产值排前六的制造业中，汽车产业产值是其他五个主要产业产值总和的5倍以上，汽车产业“一业独大”的产业结构容易导致我区工业经济增长后劲不足、抗风险能力低等问题，不利于花都制造业甚至整体经济的持续健康发展。皮革皮具、服装鞋帽、日化用品、塑料制品、电器机械等制造业产业规模相对较小，附加值有待进一步提升；新能源与智能网联汽车、绿色智能装备等战略性新兴产业规模不足，人工智能与数字经济等新兴产业尚未形成强大支撑，现代产业体系构建任务艰巨。</w:t>
      </w:r>
    </w:p>
    <w:p w14:paraId="376589BF">
      <w:pPr>
        <w:pStyle w:val="4"/>
        <w:spacing w:before="0" w:after="0" w:line="560" w:lineRule="exact"/>
        <w:ind w:firstLine="643" w:firstLineChars="200"/>
        <w:rPr>
          <w:rFonts w:ascii="仿宋_GB2312" w:hAnsi="Times New Roman" w:eastAsia="仿宋_GB2312"/>
          <w:bCs w:val="0"/>
        </w:rPr>
      </w:pPr>
      <w:bookmarkStart w:id="10" w:name="_Toc76826088"/>
      <w:r>
        <w:rPr>
          <w:rFonts w:hint="eastAsia" w:ascii="仿宋_GB2312" w:hAnsi="Times New Roman" w:eastAsia="仿宋_GB2312"/>
          <w:bCs w:val="0"/>
        </w:rPr>
        <w:t>2.发展质量需进一步提升</w:t>
      </w:r>
      <w:bookmarkEnd w:id="10"/>
    </w:p>
    <w:p w14:paraId="6DEE2AB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园区效益有待进一步升级改造。由于产业用地历史遗留问题，区内制造业企业分散，不够集聚，成规模、规范管理、高质量运行的园区载体少；村级工业园大量存在，以传统高投入、低附加值产业为主，缺少高</w:t>
      </w:r>
      <w:r>
        <w:rPr>
          <w:rFonts w:ascii="仿宋_GB2312" w:hAnsi="Times New Roman" w:eastAsia="仿宋_GB2312"/>
          <w:sz w:val="32"/>
          <w:szCs w:val="32"/>
        </w:rPr>
        <w:t>质量发</w:t>
      </w:r>
      <w:r>
        <w:rPr>
          <w:rFonts w:hint="eastAsia" w:ascii="仿宋_GB2312" w:hAnsi="Times New Roman" w:eastAsia="仿宋_GB2312"/>
          <w:sz w:val="32"/>
          <w:szCs w:val="32"/>
        </w:rPr>
        <w:t>展龙头企业有效带动，工业园发展还处于相对低端的状态，总体效益不足。二是企业运行质量有待提高。2015年到2020年，花都区规模以上工业全员劳动生产率有了较大幅度的提升，</w:t>
      </w:r>
      <w:r>
        <w:rPr>
          <w:rFonts w:hint="eastAsia" w:ascii="仿宋_GB2312" w:hAnsi="Times New Roman" w:eastAsia="仿宋_GB2312"/>
          <w:color w:val="FF0000"/>
          <w:sz w:val="32"/>
          <w:szCs w:val="32"/>
        </w:rPr>
        <w:t>从***万元/人增加至***万元/人，</w:t>
      </w:r>
      <w:r>
        <w:rPr>
          <w:rFonts w:hint="eastAsia" w:ascii="仿宋_GB2312" w:hAnsi="Times New Roman" w:eastAsia="仿宋_GB2312"/>
          <w:sz w:val="32"/>
          <w:szCs w:val="32"/>
        </w:rPr>
        <w:t>但规模以上工业企业资产利润率和工业增加值却没有得到明显的提高；2020全区规上工业企业缴纳税收***亿元，税收贡献并没有明显提升。三是新产品结构不平衡，多数企业缺乏高端产品，市场影响力低，影响到产业发展步伐，如皮革皮具产业、纺织服装等传统产业在研发、设计、营销等方面的创新能力普遍较弱，产品高端化步伐举步维艰。</w:t>
      </w:r>
    </w:p>
    <w:p w14:paraId="4736C40B">
      <w:pPr>
        <w:pStyle w:val="4"/>
        <w:spacing w:before="0" w:after="0" w:line="560" w:lineRule="exact"/>
        <w:ind w:firstLine="643" w:firstLineChars="200"/>
        <w:rPr>
          <w:rFonts w:ascii="仿宋_GB2312" w:hAnsi="Times New Roman" w:eastAsia="仿宋_GB2312"/>
          <w:bCs w:val="0"/>
        </w:rPr>
      </w:pPr>
      <w:bookmarkStart w:id="11" w:name="_Toc76826089"/>
      <w:r>
        <w:rPr>
          <w:rFonts w:hint="eastAsia" w:ascii="仿宋_GB2312" w:hAnsi="Times New Roman" w:eastAsia="仿宋_GB2312"/>
          <w:bCs w:val="0"/>
        </w:rPr>
        <w:t>3.创新驱动能力有待进一步增强</w:t>
      </w:r>
      <w:bookmarkEnd w:id="11"/>
    </w:p>
    <w:p w14:paraId="0AC1EA4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三五”期间，虽然花都区不断加大创新投入，2019年全区R&amp;D经费支出占GDP比重为2.34%，但仍与广州市的2.8%有较大差距，创新驱动制造业发展动力不足。高新技术企业数量不多、规模不大、竞争力不强，企业研发投入转化为创新能力不强，缺乏能够自主研发并拥有独立知识产权的企业和高质量国际化的科技孵化载体，创新成果产出偏少，创新转化率低。在汽车制造领域，以东风日产为龙头的合资企业研发过度依赖于区域外母公司，研发项目以适应性改造为主，技术含量较低，核心技术仍然难以掌握。同时，花都区长期围绕主导产业发展的创新模式比较单一，对先进技术研发领域投入不足，借力粤港澳提高协调创新能力也亟需加强。</w:t>
      </w:r>
    </w:p>
    <w:p w14:paraId="48834782">
      <w:pPr>
        <w:pStyle w:val="4"/>
        <w:spacing w:before="0" w:after="0" w:line="560" w:lineRule="exact"/>
        <w:ind w:firstLine="643" w:firstLineChars="200"/>
        <w:rPr>
          <w:rFonts w:ascii="仿宋_GB2312" w:hAnsi="Times New Roman" w:eastAsia="仿宋_GB2312"/>
          <w:bCs w:val="0"/>
        </w:rPr>
      </w:pPr>
      <w:bookmarkStart w:id="12" w:name="_Toc76826090"/>
      <w:r>
        <w:rPr>
          <w:rFonts w:hint="eastAsia" w:ascii="仿宋_GB2312" w:hAnsi="Times New Roman" w:eastAsia="仿宋_GB2312"/>
          <w:bCs w:val="0"/>
        </w:rPr>
        <w:t>4.要素制约先进制造业发展依然明显</w:t>
      </w:r>
      <w:bookmarkEnd w:id="12"/>
    </w:p>
    <w:p w14:paraId="2A7DBA9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土地利用效率有待提高，村级工业园众多，空间分布零散，整体开发强度偏低，尤其是存量企业用地供给不够，导致优质企业流失。同时，全区现状“三旧”用地图斑共</w:t>
      </w:r>
      <w:r>
        <w:rPr>
          <w:rFonts w:ascii="仿宋_GB2312" w:hAnsi="Times New Roman" w:eastAsia="仿宋_GB2312"/>
          <w:sz w:val="32"/>
          <w:szCs w:val="32"/>
        </w:rPr>
        <w:t xml:space="preserve"> 51.72km</w:t>
      </w:r>
      <w:r>
        <w:rPr>
          <w:rFonts w:ascii="Calibri" w:hAnsi="Calibri" w:eastAsia="仿宋_GB2312" w:cs="Calibri"/>
          <w:sz w:val="32"/>
          <w:szCs w:val="32"/>
        </w:rPr>
        <w:t>²</w:t>
      </w:r>
      <w:r>
        <w:rPr>
          <w:rFonts w:hint="eastAsia" w:ascii="仿宋_GB2312" w:hAnsi="Times New Roman" w:eastAsia="仿宋_GB2312"/>
          <w:sz w:val="32"/>
          <w:szCs w:val="32"/>
        </w:rPr>
        <w:t>，占存量建设用地的22%，改造提升空间较低。融资难和融资贵的问题仍然没有得到切实解决，风投创投资本缺乏，利用外资服务制造业的能力还较弱，支撑先进制造业发展的资金不足。优质人才引进与保留难度大，高层次技术人才和管理人才缺乏制约花都产业转型升级和技术创新。</w:t>
      </w:r>
    </w:p>
    <w:p w14:paraId="67ADB9F0">
      <w:pPr>
        <w:spacing w:line="560" w:lineRule="exact"/>
        <w:ind w:firstLine="640" w:firstLineChars="200"/>
        <w:rPr>
          <w:rFonts w:ascii="仿宋_GB2312" w:hAnsi="Times New Roman" w:eastAsia="仿宋_GB2312"/>
          <w:sz w:val="32"/>
          <w:szCs w:val="32"/>
        </w:rPr>
      </w:pPr>
    </w:p>
    <w:p w14:paraId="143DC071">
      <w:pPr>
        <w:pStyle w:val="3"/>
        <w:spacing w:before="0" w:after="0" w:line="560" w:lineRule="exact"/>
        <w:rPr>
          <w:rFonts w:ascii="黑体" w:hAnsi="黑体" w:eastAsia="黑体"/>
          <w:b w:val="0"/>
          <w:sz w:val="32"/>
          <w:szCs w:val="32"/>
        </w:rPr>
      </w:pPr>
      <w:bookmarkStart w:id="13" w:name="_Toc76826091"/>
      <w:r>
        <w:rPr>
          <w:rFonts w:hint="eastAsia" w:ascii="黑体" w:hAnsi="黑体" w:eastAsia="黑体"/>
          <w:b w:val="0"/>
          <w:sz w:val="32"/>
          <w:szCs w:val="32"/>
        </w:rPr>
        <w:t>二、发展环境</w:t>
      </w:r>
      <w:bookmarkEnd w:id="13"/>
    </w:p>
    <w:p w14:paraId="257DDE95">
      <w:pPr>
        <w:pStyle w:val="2"/>
        <w:spacing w:before="0" w:after="0" w:line="560" w:lineRule="exact"/>
        <w:ind w:firstLine="643" w:firstLineChars="200"/>
        <w:rPr>
          <w:rFonts w:ascii="楷体_GB2312" w:hAnsi="仿宋" w:eastAsia="楷体_GB2312"/>
        </w:rPr>
      </w:pPr>
      <w:bookmarkStart w:id="14" w:name="_Toc76826092"/>
      <w:r>
        <w:rPr>
          <w:rFonts w:hint="eastAsia" w:ascii="楷体_GB2312" w:hAnsi="仿宋" w:eastAsia="楷体_GB2312"/>
        </w:rPr>
        <w:t>（一）产业发展态势</w:t>
      </w:r>
      <w:bookmarkEnd w:id="14"/>
    </w:p>
    <w:p w14:paraId="272BA05B">
      <w:pPr>
        <w:pStyle w:val="4"/>
        <w:spacing w:before="0" w:after="0" w:line="560" w:lineRule="exact"/>
        <w:ind w:firstLine="643" w:firstLineChars="200"/>
        <w:rPr>
          <w:rFonts w:ascii="仿宋_GB2312" w:hAnsi="Times New Roman" w:eastAsia="仿宋_GB2312"/>
          <w:bCs w:val="0"/>
        </w:rPr>
      </w:pPr>
      <w:bookmarkStart w:id="15" w:name="_Toc76826093"/>
      <w:r>
        <w:rPr>
          <w:rFonts w:hint="eastAsia" w:ascii="仿宋_GB2312" w:hAnsi="Times New Roman" w:eastAsia="仿宋_GB2312"/>
          <w:bCs w:val="0"/>
        </w:rPr>
        <w:t>1</w:t>
      </w:r>
      <w:r>
        <w:rPr>
          <w:rFonts w:ascii="仿宋_GB2312" w:hAnsi="Times New Roman" w:eastAsia="仿宋_GB2312"/>
          <w:bCs w:val="0"/>
        </w:rPr>
        <w:t>.</w:t>
      </w:r>
      <w:r>
        <w:rPr>
          <w:rFonts w:hint="eastAsia" w:ascii="仿宋_GB2312" w:hAnsi="Times New Roman" w:eastAsia="仿宋_GB2312"/>
          <w:bCs w:val="0"/>
        </w:rPr>
        <w:t>全球产业竞争</w:t>
      </w:r>
      <w:r>
        <w:rPr>
          <w:rFonts w:ascii="仿宋_GB2312" w:hAnsi="Times New Roman" w:eastAsia="仿宋_GB2312"/>
          <w:bCs w:val="0"/>
        </w:rPr>
        <w:t>愈加激烈，</w:t>
      </w:r>
      <w:r>
        <w:rPr>
          <w:rFonts w:hint="eastAsia" w:ascii="仿宋_GB2312" w:hAnsi="Times New Roman" w:eastAsia="仿宋_GB2312"/>
        </w:rPr>
        <w:t>发达国家制造业“逆向回流”</w:t>
      </w:r>
      <w:bookmarkEnd w:id="15"/>
    </w:p>
    <w:p w14:paraId="5FDBF078">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近年来，全球产业链正在发生结构性变化，突出表现为发达国家制造业“逆向回流”和发展中国家制造业“高端跃升”并存。与此同时，全球价值链成为构建国际分工体系的新方式。2008年国际金融危机</w:t>
      </w:r>
      <w:r>
        <w:rPr>
          <w:rFonts w:hint="eastAsia" w:ascii="仿宋_GB2312" w:hAnsi="Times New Roman" w:eastAsia="仿宋_GB2312"/>
          <w:sz w:val="32"/>
          <w:szCs w:val="32"/>
          <w:lang w:eastAsia="zh-CN"/>
        </w:rPr>
        <w:t>暴</w:t>
      </w:r>
      <w:r>
        <w:rPr>
          <w:rFonts w:hint="eastAsia" w:ascii="仿宋_GB2312" w:hAnsi="Times New Roman" w:eastAsia="仿宋_GB2312"/>
          <w:sz w:val="32"/>
          <w:szCs w:val="32"/>
        </w:rPr>
        <w:t>发后，欧美等发达国家面对自身制造业地位持续下降、工业品在全球市场上竞争力相对减弱的状况，纷纷提出再工业化战略，以重夺国际制造业竞争的主导权。例如，美国积极发展智能制造、新能源、生物技术等高附加值制造业；英国重点发展超低碳汽车、生命科学医药以及尖端制造业；法国政府建立战略投资基金，用于发展能源、汽车、航空等战略性产业。这些举措在一定程度上将影响全球产业链的空间布局，改变原有的国际分工体系。</w:t>
      </w:r>
      <w:r>
        <w:rPr>
          <w:rFonts w:ascii="仿宋_GB2312" w:hAnsi="Times New Roman" w:eastAsia="仿宋_GB2312"/>
          <w:sz w:val="32"/>
          <w:szCs w:val="32"/>
        </w:rPr>
        <w:t>随着工业4.0</w:t>
      </w:r>
      <w:r>
        <w:rPr>
          <w:rFonts w:hint="eastAsia" w:ascii="仿宋_GB2312" w:hAnsi="Times New Roman" w:eastAsia="仿宋_GB2312"/>
          <w:sz w:val="32"/>
          <w:szCs w:val="32"/>
        </w:rPr>
        <w:t>革命</w:t>
      </w:r>
      <w:r>
        <w:rPr>
          <w:rFonts w:ascii="仿宋_GB2312" w:hAnsi="Times New Roman" w:eastAsia="仿宋_GB2312"/>
          <w:sz w:val="32"/>
          <w:szCs w:val="32"/>
        </w:rPr>
        <w:t>深入，</w:t>
      </w:r>
      <w:r>
        <w:rPr>
          <w:rFonts w:hint="eastAsia" w:ascii="仿宋_GB2312" w:hAnsi="Times New Roman" w:eastAsia="仿宋_GB2312"/>
          <w:sz w:val="32"/>
          <w:szCs w:val="32"/>
        </w:rPr>
        <w:t>全球新兴产业持续蓬勃发展，已然成为拉动全球经济增长的新动能，美、德、日等发达国家以及中、印等新兴经济体大</w:t>
      </w:r>
      <w:r>
        <w:rPr>
          <w:rFonts w:ascii="仿宋_GB2312" w:hAnsi="Times New Roman" w:eastAsia="仿宋_GB2312"/>
          <w:sz w:val="32"/>
          <w:szCs w:val="32"/>
        </w:rPr>
        <w:t>力推动</w:t>
      </w:r>
      <w:r>
        <w:rPr>
          <w:rFonts w:hint="eastAsia" w:ascii="仿宋_GB2312" w:hAnsi="Times New Roman" w:eastAsia="仿宋_GB2312"/>
          <w:sz w:val="32"/>
          <w:szCs w:val="32"/>
        </w:rPr>
        <w:t>新兴产业发</w:t>
      </w:r>
      <w:r>
        <w:rPr>
          <w:rFonts w:ascii="仿宋_GB2312" w:hAnsi="Times New Roman" w:eastAsia="仿宋_GB2312"/>
          <w:sz w:val="32"/>
          <w:szCs w:val="32"/>
        </w:rPr>
        <w:t>展</w:t>
      </w:r>
      <w:r>
        <w:rPr>
          <w:rFonts w:hint="eastAsia" w:ascii="仿宋_GB2312" w:hAnsi="Times New Roman" w:eastAsia="仿宋_GB2312"/>
          <w:sz w:val="32"/>
          <w:szCs w:val="32"/>
        </w:rPr>
        <w:t>，围绕新材料、新能源汽车、大数据、物联网、人工智能等新兴领域在规模、技术等方面都取得了突破性的进展。全球</w:t>
      </w:r>
      <w:r>
        <w:rPr>
          <w:rFonts w:ascii="仿宋_GB2312" w:hAnsi="Times New Roman" w:eastAsia="仿宋_GB2312"/>
          <w:sz w:val="32"/>
          <w:szCs w:val="32"/>
        </w:rPr>
        <w:t>性</w:t>
      </w:r>
      <w:r>
        <w:rPr>
          <w:rFonts w:hint="eastAsia" w:ascii="仿宋_GB2312" w:hAnsi="Times New Roman" w:eastAsia="仿宋_GB2312"/>
          <w:sz w:val="32"/>
          <w:szCs w:val="32"/>
        </w:rPr>
        <w:t>新冠肺炎疫情将推动新经济加快发展，数字经济、人工智能、生物医药将迎来</w:t>
      </w:r>
      <w:r>
        <w:rPr>
          <w:rFonts w:hint="eastAsia" w:ascii="仿宋_GB2312" w:hAnsi="Times New Roman" w:eastAsia="仿宋_GB2312"/>
          <w:sz w:val="32"/>
          <w:szCs w:val="32"/>
          <w:lang w:eastAsia="zh-CN"/>
        </w:rPr>
        <w:t>暴</w:t>
      </w:r>
      <w:bookmarkStart w:id="132" w:name="_GoBack"/>
      <w:bookmarkEnd w:id="132"/>
      <w:r>
        <w:rPr>
          <w:rFonts w:hint="eastAsia" w:ascii="仿宋_GB2312" w:hAnsi="Times New Roman" w:eastAsia="仿宋_GB2312"/>
          <w:sz w:val="32"/>
          <w:szCs w:val="32"/>
        </w:rPr>
        <w:t>发期。</w:t>
      </w:r>
      <w:r>
        <w:rPr>
          <w:rFonts w:ascii="仿宋_GB2312" w:hAnsi="Times New Roman" w:eastAsia="仿宋_GB2312"/>
          <w:sz w:val="32"/>
          <w:szCs w:val="32"/>
        </w:rPr>
        <w:t>同</w:t>
      </w:r>
      <w:r>
        <w:rPr>
          <w:rFonts w:hint="eastAsia" w:ascii="仿宋_GB2312" w:hAnsi="Times New Roman" w:eastAsia="仿宋_GB2312"/>
          <w:sz w:val="32"/>
          <w:szCs w:val="32"/>
        </w:rPr>
        <w:t>时，新冠肺炎疫情以</w:t>
      </w:r>
      <w:r>
        <w:rPr>
          <w:rFonts w:ascii="仿宋_GB2312" w:hAnsi="Times New Roman" w:eastAsia="仿宋_GB2312"/>
          <w:sz w:val="32"/>
          <w:szCs w:val="32"/>
        </w:rPr>
        <w:t>及</w:t>
      </w:r>
      <w:r>
        <w:rPr>
          <w:rFonts w:hint="eastAsia" w:ascii="仿宋_GB2312" w:hAnsi="Times New Roman" w:eastAsia="仿宋_GB2312"/>
          <w:sz w:val="32"/>
          <w:szCs w:val="32"/>
        </w:rPr>
        <w:t>中美战略博弈对全球经济带来巨大冲击，</w:t>
      </w:r>
      <w:r>
        <w:rPr>
          <w:rFonts w:ascii="仿宋_GB2312" w:hAnsi="Times New Roman" w:eastAsia="仿宋_GB2312"/>
          <w:sz w:val="32"/>
          <w:szCs w:val="32"/>
        </w:rPr>
        <w:t>全球供应链将发生深刻调整，</w:t>
      </w:r>
      <w:r>
        <w:rPr>
          <w:rFonts w:hint="eastAsia" w:ascii="仿宋_GB2312" w:hAnsi="Times New Roman" w:eastAsia="仿宋_GB2312"/>
          <w:sz w:val="32"/>
          <w:szCs w:val="32"/>
        </w:rPr>
        <w:t>产业链、供应链由全球化水平分工更加趋向本土化、区域化布局</w:t>
      </w:r>
      <w:r>
        <w:rPr>
          <w:rFonts w:ascii="仿宋_GB2312" w:hAnsi="Times New Roman" w:eastAsia="仿宋_GB2312"/>
          <w:sz w:val="32"/>
          <w:szCs w:val="32"/>
        </w:rPr>
        <w:t>。</w:t>
      </w:r>
      <w:r>
        <w:rPr>
          <w:rFonts w:hint="eastAsia" w:ascii="仿宋_GB2312" w:hAnsi="Times New Roman" w:eastAsia="仿宋_GB2312"/>
          <w:sz w:val="32"/>
          <w:szCs w:val="32"/>
        </w:rPr>
        <w:t>中</w:t>
      </w:r>
      <w:r>
        <w:rPr>
          <w:rFonts w:ascii="仿宋_GB2312" w:hAnsi="Times New Roman" w:eastAsia="仿宋_GB2312"/>
          <w:sz w:val="32"/>
          <w:szCs w:val="32"/>
        </w:rPr>
        <w:t>国在疫情防控战役中取得巨大阶段性胜利，反而可能增强</w:t>
      </w:r>
      <w:r>
        <w:rPr>
          <w:rFonts w:hint="eastAsia" w:ascii="仿宋_GB2312" w:hAnsi="Times New Roman" w:eastAsia="仿宋_GB2312"/>
          <w:sz w:val="32"/>
          <w:szCs w:val="32"/>
        </w:rPr>
        <w:t>我</w:t>
      </w:r>
      <w:r>
        <w:rPr>
          <w:rFonts w:ascii="仿宋_GB2312" w:hAnsi="Times New Roman" w:eastAsia="仿宋_GB2312"/>
          <w:sz w:val="32"/>
          <w:szCs w:val="32"/>
        </w:rPr>
        <w:t>国在国际分工格局中的重要地位，在全球供应链深度调整时有望进一步吸纳国际资源、要素集聚，强化全球供应链枢纽地位。</w:t>
      </w:r>
    </w:p>
    <w:p w14:paraId="56FBC0C8">
      <w:pPr>
        <w:pStyle w:val="4"/>
        <w:spacing w:before="0" w:after="0" w:line="560" w:lineRule="exact"/>
        <w:ind w:firstLine="643" w:firstLineChars="200"/>
        <w:rPr>
          <w:rFonts w:ascii="仿宋_GB2312" w:hAnsi="Times New Roman" w:eastAsia="仿宋_GB2312"/>
          <w:bCs w:val="0"/>
        </w:rPr>
      </w:pPr>
      <w:bookmarkStart w:id="16" w:name="_Toc76826094"/>
      <w:r>
        <w:rPr>
          <w:rFonts w:hint="eastAsia" w:ascii="仿宋_GB2312" w:hAnsi="Times New Roman" w:eastAsia="仿宋_GB2312"/>
          <w:bCs w:val="0"/>
        </w:rPr>
        <w:t>2</w:t>
      </w:r>
      <w:r>
        <w:rPr>
          <w:rFonts w:ascii="仿宋_GB2312" w:hAnsi="Times New Roman" w:eastAsia="仿宋_GB2312"/>
          <w:bCs w:val="0"/>
        </w:rPr>
        <w:t>.</w:t>
      </w:r>
      <w:r>
        <w:rPr>
          <w:rFonts w:hint="eastAsia" w:ascii="仿宋_GB2312" w:hAnsi="Times New Roman" w:eastAsia="仿宋_GB2312"/>
          <w:bCs w:val="0"/>
        </w:rPr>
        <w:t>我国产业转向高质量发展，战略</w:t>
      </w:r>
      <w:r>
        <w:rPr>
          <w:rFonts w:ascii="仿宋_GB2312" w:hAnsi="Times New Roman" w:eastAsia="仿宋_GB2312"/>
          <w:bCs w:val="0"/>
        </w:rPr>
        <w:t>性</w:t>
      </w:r>
      <w:r>
        <w:rPr>
          <w:rFonts w:hint="eastAsia" w:ascii="仿宋_GB2312" w:hAnsi="Times New Roman" w:eastAsia="仿宋_GB2312"/>
          <w:bCs w:val="0"/>
        </w:rPr>
        <w:t>新</w:t>
      </w:r>
      <w:r>
        <w:rPr>
          <w:rFonts w:ascii="仿宋_GB2312" w:hAnsi="Times New Roman" w:eastAsia="仿宋_GB2312"/>
          <w:bCs w:val="0"/>
        </w:rPr>
        <w:t>兴产业</w:t>
      </w:r>
      <w:r>
        <w:rPr>
          <w:rFonts w:hint="eastAsia" w:ascii="仿宋_GB2312" w:hAnsi="Times New Roman" w:eastAsia="仿宋_GB2312"/>
          <w:bCs w:val="0"/>
        </w:rPr>
        <w:t>竞争</w:t>
      </w:r>
      <w:r>
        <w:rPr>
          <w:rFonts w:ascii="仿宋_GB2312" w:hAnsi="Times New Roman" w:eastAsia="仿宋_GB2312"/>
          <w:bCs w:val="0"/>
        </w:rPr>
        <w:t>力跃</w:t>
      </w:r>
      <w:r>
        <w:rPr>
          <w:rFonts w:ascii="仿宋_GB2312" w:hAnsi="Times New Roman" w:eastAsia="仿宋_GB2312"/>
        </w:rPr>
        <w:t>升</w:t>
      </w:r>
      <w:bookmarkEnd w:id="16"/>
    </w:p>
    <w:p w14:paraId="66E972A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全球产业结构再调整为发展中国家制造业向中高端跃升提供了契机。发展中国家和新兴经济体正加快从资源和劳动密集型粗加工产业向资本和技术密集型精深加工产业转变，推动产业结构升级。随着科技发展、业态创新和产业融合，发展中国家和新兴经济体努力突破瓶颈，从“微笑曲线”的中部低利润环节向两端的高附加值环节跃升。对我国而言，经济已由高速增长阶段转向高质量发展阶段，传统的资源禀赋比较优势正逐步丧失，新的比较优势，诸如巨大的市场需求、良好的产业服务和配套能力、较强的创新动力、制度和政策优势以及处于世界前列的经济增长速度等正在显现，高质量发展已成为我国未来长期发展的战略导向。新兴产业作为我国培育经济发展新动能、打造竞争新优势的重要选择，</w:t>
      </w:r>
      <w:r>
        <w:rPr>
          <w:rFonts w:ascii="仿宋_GB2312" w:hAnsi="Times New Roman" w:eastAsia="仿宋_GB2312"/>
          <w:sz w:val="32"/>
          <w:szCs w:val="32"/>
        </w:rPr>
        <w:t xml:space="preserve"> </w:t>
      </w:r>
      <w:r>
        <w:rPr>
          <w:rFonts w:hint="eastAsia" w:ascii="仿宋_GB2312" w:hAnsi="Times New Roman" w:eastAsia="仿宋_GB2312"/>
          <w:sz w:val="32"/>
          <w:szCs w:val="32"/>
        </w:rPr>
        <w:t>已成为我国经济实现稳定增长的支撑力量。数字经济，新业态、新模式不断涌现，新动能对经济发展的引领支撑作用逐渐凸显，新能源汽车、光纤、智能电视等新产品产量已超过规模以上工业整体增速实现较快增长，战略性新兴产业在诸如卫星航空、超级计算、高铁、可燃冰和移动通信等领域均取得了关键核心技术的突破。未来，我国新一代信息技术、高端装备制造、新材料、生物、新能源汽车、新能源、节能环保、数字创意产业八大类细分新兴产业的政策环境将进一步完善，产业间协同性将不断提升。</w:t>
      </w:r>
    </w:p>
    <w:p w14:paraId="009F77B5">
      <w:pPr>
        <w:pStyle w:val="4"/>
        <w:spacing w:before="0" w:after="0" w:line="560" w:lineRule="exact"/>
        <w:ind w:firstLine="643" w:firstLineChars="200"/>
        <w:rPr>
          <w:rFonts w:ascii="仿宋_GB2312" w:hAnsi="Times New Roman" w:eastAsia="仿宋_GB2312"/>
          <w:bCs w:val="0"/>
        </w:rPr>
      </w:pPr>
      <w:bookmarkStart w:id="17" w:name="_Toc76826095"/>
      <w:r>
        <w:rPr>
          <w:rFonts w:hint="eastAsia" w:ascii="仿宋_GB2312" w:hAnsi="Times New Roman" w:eastAsia="仿宋_GB2312"/>
          <w:bCs w:val="0"/>
        </w:rPr>
        <w:t>3</w:t>
      </w:r>
      <w:r>
        <w:rPr>
          <w:rFonts w:ascii="仿宋_GB2312" w:hAnsi="Times New Roman" w:eastAsia="仿宋_GB2312"/>
          <w:bCs w:val="0"/>
        </w:rPr>
        <w:t>.</w:t>
      </w:r>
      <w:r>
        <w:rPr>
          <w:rFonts w:hint="eastAsia" w:ascii="仿宋_GB2312" w:hAnsi="Times New Roman" w:eastAsia="仿宋_GB2312"/>
          <w:bCs w:val="0"/>
        </w:rPr>
        <w:t>广州大</w:t>
      </w:r>
      <w:r>
        <w:rPr>
          <w:rFonts w:ascii="仿宋_GB2312" w:hAnsi="Times New Roman" w:eastAsia="仿宋_GB2312"/>
          <w:bCs w:val="0"/>
        </w:rPr>
        <w:t>力发</w:t>
      </w:r>
      <w:r>
        <w:rPr>
          <w:rFonts w:hint="eastAsia" w:ascii="仿宋_GB2312" w:hAnsi="Times New Roman" w:eastAsia="仿宋_GB2312"/>
          <w:bCs w:val="0"/>
        </w:rPr>
        <w:t>展</w:t>
      </w:r>
      <w:r>
        <w:rPr>
          <w:rFonts w:ascii="仿宋_GB2312" w:hAnsi="Times New Roman" w:eastAsia="仿宋_GB2312"/>
          <w:bCs w:val="0"/>
        </w:rPr>
        <w:t>新兴产业，</w:t>
      </w:r>
      <w:r>
        <w:rPr>
          <w:rFonts w:hint="eastAsia" w:ascii="仿宋_GB2312" w:hAnsi="Times New Roman" w:eastAsia="仿宋_GB2312"/>
          <w:bCs w:val="0"/>
        </w:rPr>
        <w:t>促进</w:t>
      </w:r>
      <w:r>
        <w:rPr>
          <w:rFonts w:ascii="仿宋_GB2312" w:hAnsi="Times New Roman" w:eastAsia="仿宋_GB2312"/>
          <w:bCs w:val="0"/>
        </w:rPr>
        <w:t>传统产业转型</w:t>
      </w:r>
      <w:bookmarkEnd w:id="17"/>
    </w:p>
    <w:p w14:paraId="3E5F7B3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近年来，广州顺应新一轮科技革命和产业变革趋势，IAB、NEM等</w:t>
      </w:r>
      <w:r>
        <w:rPr>
          <w:rFonts w:ascii="仿宋_GB2312" w:hAnsi="Times New Roman" w:eastAsia="仿宋_GB2312"/>
          <w:sz w:val="32"/>
          <w:szCs w:val="32"/>
        </w:rPr>
        <w:t>战略性新兴产业发展取得</w:t>
      </w:r>
      <w:r>
        <w:rPr>
          <w:rFonts w:hint="eastAsia" w:ascii="仿宋_GB2312" w:hAnsi="Times New Roman" w:eastAsia="仿宋_GB2312"/>
          <w:sz w:val="32"/>
          <w:szCs w:val="32"/>
        </w:rPr>
        <w:t>显著</w:t>
      </w:r>
      <w:r>
        <w:rPr>
          <w:rFonts w:ascii="仿宋_GB2312" w:hAnsi="Times New Roman" w:eastAsia="仿宋_GB2312"/>
          <w:sz w:val="32"/>
          <w:szCs w:val="32"/>
        </w:rPr>
        <w:t>成效，</w:t>
      </w:r>
      <w:r>
        <w:rPr>
          <w:rFonts w:hint="eastAsia" w:ascii="仿宋_GB2312" w:hAnsi="Times New Roman" w:eastAsia="仿宋_GB2312"/>
          <w:sz w:val="32"/>
          <w:szCs w:val="32"/>
        </w:rPr>
        <w:t>现代产</w:t>
      </w:r>
      <w:r>
        <w:rPr>
          <w:rFonts w:ascii="仿宋_GB2312" w:hAnsi="Times New Roman" w:eastAsia="仿宋_GB2312"/>
          <w:sz w:val="32"/>
          <w:szCs w:val="32"/>
        </w:rPr>
        <w:t>业体系不断完善，产业竞争力不断提升。</w:t>
      </w:r>
      <w:r>
        <w:rPr>
          <w:rFonts w:hint="eastAsia" w:ascii="仿宋_GB2312" w:hAnsi="Times New Roman" w:eastAsia="仿宋_GB2312"/>
          <w:sz w:val="32"/>
          <w:szCs w:val="32"/>
        </w:rPr>
        <w:t>“十四五”时期及</w:t>
      </w:r>
      <w:r>
        <w:rPr>
          <w:rFonts w:ascii="仿宋_GB2312" w:hAnsi="Times New Roman" w:eastAsia="仿宋_GB2312"/>
          <w:sz w:val="32"/>
          <w:szCs w:val="32"/>
        </w:rPr>
        <w:t>新的发展阶段</w:t>
      </w:r>
      <w:r>
        <w:rPr>
          <w:rFonts w:hint="eastAsia" w:ascii="仿宋_GB2312" w:hAnsi="Times New Roman" w:eastAsia="仿宋_GB2312"/>
          <w:sz w:val="32"/>
          <w:szCs w:val="32"/>
        </w:rPr>
        <w:t>，广州</w:t>
      </w:r>
      <w:r>
        <w:rPr>
          <w:rFonts w:ascii="仿宋_GB2312" w:hAnsi="Times New Roman" w:eastAsia="仿宋_GB2312"/>
          <w:sz w:val="32"/>
          <w:szCs w:val="32"/>
        </w:rPr>
        <w:t>将</w:t>
      </w:r>
      <w:bookmarkStart w:id="18" w:name="_Toc29199955"/>
      <w:bookmarkStart w:id="19" w:name="_Toc46332611"/>
      <w:r>
        <w:rPr>
          <w:rFonts w:hint="eastAsia" w:ascii="仿宋_GB2312" w:hAnsi="Times New Roman" w:eastAsia="仿宋_GB2312"/>
          <w:sz w:val="32"/>
          <w:szCs w:val="32"/>
        </w:rPr>
        <w:t>进</w:t>
      </w:r>
      <w:r>
        <w:rPr>
          <w:rFonts w:ascii="仿宋_GB2312" w:hAnsi="Times New Roman" w:eastAsia="仿宋_GB2312"/>
          <w:sz w:val="32"/>
          <w:szCs w:val="32"/>
        </w:rPr>
        <w:t>一步</w:t>
      </w:r>
      <w:r>
        <w:rPr>
          <w:rFonts w:hint="eastAsia" w:ascii="仿宋_GB2312" w:hAnsi="Times New Roman" w:eastAsia="仿宋_GB2312"/>
          <w:sz w:val="32"/>
          <w:szCs w:val="32"/>
        </w:rPr>
        <w:t>提升产业基础高级化和产业链现代化水平，构建更具竞争力的现代产业体系</w:t>
      </w:r>
      <w:bookmarkEnd w:id="18"/>
      <w:bookmarkEnd w:id="19"/>
      <w:r>
        <w:rPr>
          <w:rFonts w:hint="eastAsia" w:ascii="仿宋_GB2312" w:hAnsi="Times New Roman" w:eastAsia="仿宋_GB2312"/>
          <w:sz w:val="32"/>
          <w:szCs w:val="32"/>
        </w:rPr>
        <w:t>。继续</w:t>
      </w:r>
      <w:r>
        <w:rPr>
          <w:rFonts w:ascii="仿宋_GB2312" w:hAnsi="Times New Roman" w:eastAsia="仿宋_GB2312"/>
          <w:sz w:val="32"/>
          <w:szCs w:val="32"/>
        </w:rPr>
        <w:t>大力发展</w:t>
      </w:r>
      <w:r>
        <w:rPr>
          <w:rFonts w:hint="eastAsia" w:ascii="仿宋_GB2312" w:hAnsi="Times New Roman" w:eastAsia="仿宋_GB2312"/>
          <w:sz w:val="32"/>
          <w:szCs w:val="32"/>
        </w:rPr>
        <w:t>新一代信息技术、人工智能、生物医药与健康、智能汽车、轨道交通、新能源、新材料等七大战略性新兴产业，在部分优势领域构建全产业链，</w:t>
      </w:r>
      <w:bookmarkStart w:id="20" w:name="_Toc46332612"/>
      <w:r>
        <w:rPr>
          <w:rFonts w:hint="eastAsia" w:ascii="仿宋_GB2312" w:hAnsi="Times New Roman" w:eastAsia="仿宋_GB2312"/>
          <w:sz w:val="32"/>
          <w:szCs w:val="32"/>
        </w:rPr>
        <w:t>培育壮大战略性新兴产业集群</w:t>
      </w:r>
      <w:bookmarkEnd w:id="20"/>
      <w:r>
        <w:rPr>
          <w:rFonts w:hint="eastAsia" w:ascii="仿宋_GB2312" w:hAnsi="Times New Roman" w:eastAsia="仿宋_GB2312"/>
          <w:sz w:val="32"/>
          <w:szCs w:val="32"/>
        </w:rPr>
        <w:t>。大</w:t>
      </w:r>
      <w:r>
        <w:rPr>
          <w:rFonts w:ascii="仿宋_GB2312" w:hAnsi="Times New Roman" w:eastAsia="仿宋_GB2312"/>
          <w:sz w:val="32"/>
          <w:szCs w:val="32"/>
        </w:rPr>
        <w:t>力推动</w:t>
      </w:r>
      <w:r>
        <w:rPr>
          <w:rFonts w:hint="eastAsia" w:ascii="仿宋_GB2312" w:hAnsi="Times New Roman" w:eastAsia="仿宋_GB2312"/>
          <w:sz w:val="32"/>
          <w:szCs w:val="32"/>
        </w:rPr>
        <w:t>传统产业提升，推进汽车、石化、电子等传统三</w:t>
      </w:r>
      <w:r>
        <w:rPr>
          <w:rFonts w:ascii="仿宋_GB2312" w:hAnsi="Times New Roman" w:eastAsia="仿宋_GB2312"/>
          <w:sz w:val="32"/>
          <w:szCs w:val="32"/>
        </w:rPr>
        <w:t>大</w:t>
      </w:r>
      <w:r>
        <w:rPr>
          <w:rFonts w:hint="eastAsia" w:ascii="仿宋_GB2312" w:hAnsi="Times New Roman" w:eastAsia="仿宋_GB2312"/>
          <w:sz w:val="32"/>
          <w:szCs w:val="32"/>
        </w:rPr>
        <w:t>支柱产业和纺织、食品、家</w:t>
      </w:r>
      <w:r>
        <w:rPr>
          <w:rFonts w:ascii="仿宋_GB2312" w:hAnsi="Times New Roman" w:eastAsia="仿宋_GB2312"/>
          <w:sz w:val="32"/>
          <w:szCs w:val="32"/>
        </w:rPr>
        <w:t>电</w:t>
      </w:r>
      <w:r>
        <w:rPr>
          <w:rFonts w:hint="eastAsia" w:ascii="仿宋_GB2312" w:hAnsi="Times New Roman" w:eastAsia="仿宋_GB2312"/>
          <w:sz w:val="32"/>
          <w:szCs w:val="32"/>
        </w:rPr>
        <w:t>、皮具等传统特色产业加快转型升级，通过发展工业互联网，鼓励企业智能化改造，提升生产工艺、提高产品质量；推进循环清洁改造，推动绿色制造体系建设，</w:t>
      </w:r>
      <w:bookmarkStart w:id="21" w:name="_Toc46332613"/>
      <w:r>
        <w:rPr>
          <w:rFonts w:hint="eastAsia" w:ascii="仿宋_GB2312" w:hAnsi="Times New Roman" w:eastAsia="仿宋_GB2312"/>
          <w:sz w:val="32"/>
          <w:szCs w:val="32"/>
        </w:rPr>
        <w:t xml:space="preserve"> 推动制造业智能化绿色化服务化发展</w:t>
      </w:r>
      <w:bookmarkEnd w:id="21"/>
      <w:r>
        <w:rPr>
          <w:rFonts w:hint="eastAsia" w:ascii="仿宋_GB2312" w:hAnsi="Times New Roman" w:eastAsia="仿宋_GB2312"/>
          <w:sz w:val="32"/>
          <w:szCs w:val="32"/>
        </w:rPr>
        <w:t>。积极实施未来产业培育计划，围绕干细胞与再生医学、量子通信、石墨烯、光通信与太赫兹、智能传感等领域，建设一批未来产业集聚区</w:t>
      </w:r>
      <w:bookmarkStart w:id="22" w:name="_Toc46332616"/>
      <w:r>
        <w:rPr>
          <w:rFonts w:hint="eastAsia" w:ascii="仿宋_GB2312" w:hAnsi="Times New Roman" w:eastAsia="仿宋_GB2312"/>
          <w:sz w:val="32"/>
          <w:szCs w:val="32"/>
        </w:rPr>
        <w:t>，先行布局未来产业</w:t>
      </w:r>
      <w:bookmarkEnd w:id="22"/>
      <w:r>
        <w:rPr>
          <w:rFonts w:hint="eastAsia" w:ascii="仿宋_GB2312" w:hAnsi="Times New Roman" w:eastAsia="仿宋_GB2312"/>
          <w:sz w:val="32"/>
          <w:szCs w:val="32"/>
        </w:rPr>
        <w:t>。</w:t>
      </w:r>
    </w:p>
    <w:p w14:paraId="2BDF711C">
      <w:pPr>
        <w:pStyle w:val="2"/>
        <w:spacing w:before="0" w:after="0" w:line="560" w:lineRule="exact"/>
        <w:ind w:firstLine="643" w:firstLineChars="200"/>
        <w:rPr>
          <w:rFonts w:ascii="楷体_GB2312" w:hAnsi="仿宋" w:eastAsia="楷体_GB2312"/>
        </w:rPr>
      </w:pPr>
      <w:bookmarkStart w:id="23" w:name="_Toc76826096"/>
      <w:r>
        <w:rPr>
          <w:rFonts w:hint="eastAsia" w:ascii="楷体_GB2312" w:hAnsi="仿宋" w:eastAsia="楷体_GB2312"/>
        </w:rPr>
        <w:t>（二）机遇</w:t>
      </w:r>
      <w:bookmarkEnd w:id="23"/>
    </w:p>
    <w:p w14:paraId="3F8AC7FF">
      <w:pPr>
        <w:pStyle w:val="4"/>
        <w:spacing w:before="0" w:after="0" w:line="560" w:lineRule="exact"/>
        <w:ind w:firstLine="643" w:firstLineChars="200"/>
        <w:rPr>
          <w:rFonts w:ascii="仿宋_GB2312" w:hAnsi="Times New Roman" w:eastAsia="仿宋_GB2312"/>
          <w:bCs w:val="0"/>
        </w:rPr>
      </w:pPr>
      <w:bookmarkStart w:id="24" w:name="_Toc76826097"/>
      <w:r>
        <w:rPr>
          <w:rFonts w:hint="eastAsia" w:ascii="仿宋_GB2312" w:hAnsi="Times New Roman" w:eastAsia="仿宋_GB2312"/>
          <w:bCs w:val="0"/>
        </w:rPr>
        <w:t>1.新一轮科技革命和产业革命孕育新契机</w:t>
      </w:r>
      <w:bookmarkEnd w:id="24"/>
    </w:p>
    <w:p w14:paraId="5F078D73">
      <w:pPr>
        <w:spacing w:line="560" w:lineRule="exact"/>
        <w:ind w:firstLine="640" w:firstLineChars="200"/>
        <w:rPr>
          <w:rFonts w:ascii="仿宋_GB2312" w:hAnsi="Times New Roman" w:eastAsia="仿宋_GB2312"/>
        </w:rPr>
      </w:pPr>
      <w:r>
        <w:rPr>
          <w:rFonts w:hint="eastAsia" w:ascii="仿宋_GB2312" w:hAnsi="Times New Roman" w:eastAsia="仿宋_GB2312"/>
          <w:sz w:val="32"/>
          <w:szCs w:val="32"/>
        </w:rPr>
        <w:t>全球新一轮科技革命方兴未艾，催生了物联网、云计算、大数据、人工智能、3D打印、区块链等新一代信息技术，以及生物技术、新能源技术、新材料技术等，并将推动新一轮产业革命，引发产业重大变革。这场产业革命将以智慧技术和产业、生物工程技术和生态产业、新能源与新材料产业、智能制造等为主导，形成一批新的产业链和产业集群，全球产业结构、产业格局将出现大调整。同时，创新全球化和网络化趋势已经形成，全球进入创新时代，科技创新速度日益加快。花都具有绝佳的区位、交通和制造业优势，生产生活环境日益改善，国际创新和产业格局的变化，为花都承接国际国内科技创新资源要素转移，提升自主创新能力；“两千亿级汽车产业集群”“千亿级智能电子产业集群”和“临空高科技产业集群”三大千亿产业集群逐渐成形，一批技术领先、创新能力强的高新技术企业持续进入，高端制造与数字经济产业生态日渐形成；为承接产业转移，培育新兴产业，推进本土产业转型升级，完成新旧动能转换提供了良好机遇。</w:t>
      </w:r>
    </w:p>
    <w:p w14:paraId="1EE6F468">
      <w:pPr>
        <w:pStyle w:val="4"/>
        <w:spacing w:before="0" w:after="0" w:line="560" w:lineRule="exact"/>
        <w:ind w:firstLine="643" w:firstLineChars="200"/>
        <w:rPr>
          <w:rFonts w:ascii="仿宋_GB2312" w:hAnsi="Times New Roman" w:eastAsia="仿宋_GB2312"/>
          <w:bCs w:val="0"/>
        </w:rPr>
      </w:pPr>
      <w:bookmarkStart w:id="25" w:name="_Toc76826098"/>
      <w:r>
        <w:rPr>
          <w:rFonts w:hint="eastAsia" w:ascii="仿宋_GB2312" w:hAnsi="Times New Roman" w:eastAsia="仿宋_GB2312"/>
          <w:bCs w:val="0"/>
        </w:rPr>
        <w:t>2.构建新发展格局促进先进制造业发展提速</w:t>
      </w:r>
      <w:bookmarkEnd w:id="25"/>
    </w:p>
    <w:p w14:paraId="31B61DE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我国拥有超大规模消费市场，</w:t>
      </w:r>
      <w:r>
        <w:rPr>
          <w:rFonts w:ascii="仿宋_GB2312" w:hAnsi="Times New Roman" w:eastAsia="仿宋_GB2312"/>
          <w:sz w:val="32"/>
          <w:szCs w:val="32"/>
        </w:rPr>
        <w:t>不仅具有世界最大的人口规模，而且拥有世界最大的中等收入人群，消费潜力巨大、需求不</w:t>
      </w:r>
      <w:r>
        <w:rPr>
          <w:rFonts w:hint="eastAsia" w:ascii="仿宋_GB2312" w:hAnsi="Times New Roman" w:eastAsia="仿宋_GB2312"/>
          <w:sz w:val="32"/>
          <w:szCs w:val="32"/>
        </w:rPr>
        <w:t>断升级；市场机场日益完善，</w:t>
      </w:r>
      <w:r>
        <w:rPr>
          <w:rFonts w:ascii="仿宋_GB2312" w:hAnsi="Times New Roman" w:eastAsia="仿宋_GB2312"/>
          <w:sz w:val="32"/>
          <w:szCs w:val="32"/>
        </w:rPr>
        <w:t>各类基础性改革不断深化，营商环境持续优化，经济长期向好趋势明显，正积极构建</w:t>
      </w:r>
      <w:r>
        <w:rPr>
          <w:rFonts w:hint="eastAsia" w:ascii="仿宋_GB2312" w:hAnsi="Times New Roman" w:eastAsia="仿宋_GB2312"/>
          <w:sz w:val="32"/>
          <w:szCs w:val="32"/>
        </w:rPr>
        <w:t>以国内大循环为主体、国内国际“双循环”相互促进的新发展格局。花都具有比较发达的制造业基础，汽车、皮革皮具、服装、日化用品等产业优势突出，其中汽车产业面临汽车电动化、智能化、网联化、共享化协同发展机遇，充分发挥汽车产业和智慧城市双转型机遇，打造智能共享出行示范区。我国新发展格局的逐步形成，为花都深挖内需潜力，进一步发挥自身产业优势，培育、发展新兴产业，促进经济社会健康发展提供了广阔空间，以花都湖数字经济集聚区、中电科华南电子信息产业园、国光智能电子产业园等为基础的千亿级智能电子信息产业集群，集研发、生产、销售与一体的5</w:t>
      </w:r>
      <w:r>
        <w:rPr>
          <w:rFonts w:ascii="仿宋_GB2312" w:hAnsi="Times New Roman" w:eastAsia="仿宋_GB2312"/>
          <w:sz w:val="32"/>
          <w:szCs w:val="32"/>
        </w:rPr>
        <w:t>G+8K</w:t>
      </w:r>
      <w:r>
        <w:rPr>
          <w:rFonts w:hint="eastAsia" w:ascii="仿宋_GB2312" w:hAnsi="Times New Roman" w:eastAsia="仿宋_GB2312"/>
          <w:sz w:val="32"/>
          <w:szCs w:val="32"/>
        </w:rPr>
        <w:t>新型显示产业基地，将是未来花都人工智能与数字经济发展新动能的增长点。</w:t>
      </w:r>
    </w:p>
    <w:p w14:paraId="1E437BEF">
      <w:pPr>
        <w:pStyle w:val="4"/>
        <w:spacing w:before="0" w:after="0" w:line="560" w:lineRule="exact"/>
        <w:ind w:firstLine="643" w:firstLineChars="200"/>
        <w:rPr>
          <w:rFonts w:ascii="仿宋_GB2312" w:hAnsi="Times New Roman" w:eastAsia="仿宋_GB2312"/>
          <w:bCs w:val="0"/>
        </w:rPr>
      </w:pPr>
      <w:bookmarkStart w:id="26" w:name="_Toc76826099"/>
      <w:r>
        <w:rPr>
          <w:rFonts w:hint="eastAsia" w:ascii="仿宋_GB2312" w:hAnsi="Times New Roman" w:eastAsia="仿宋_GB2312"/>
          <w:bCs w:val="0"/>
        </w:rPr>
        <w:t>3.“双区驱动”为先进制造业发展带来新机遇</w:t>
      </w:r>
      <w:bookmarkEnd w:id="26"/>
    </w:p>
    <w:p w14:paraId="7867FDE0">
      <w:pPr>
        <w:spacing w:line="560" w:lineRule="exact"/>
        <w:ind w:firstLine="640" w:firstLineChars="200"/>
        <w:rPr>
          <w:rFonts w:ascii="仿宋_GB2312" w:hAnsi="Times New Roman" w:eastAsia="仿宋_GB2312"/>
        </w:rPr>
      </w:pPr>
      <w:r>
        <w:rPr>
          <w:rFonts w:hint="eastAsia" w:ascii="仿宋_GB2312" w:hAnsi="Times New Roman" w:eastAsia="仿宋_GB2312"/>
          <w:sz w:val="32"/>
          <w:szCs w:val="32"/>
        </w:rPr>
        <w:t>粤港澳大湾区建设全面铺开，基础设施一体化积极推进，人员、资金、信息流动更加顺畅，经济、社会合作更加紧密，有助于花都与其他区域之间的规划衔接，有利于花都重大平台、重大基础设施项目纳入大湾区建设计划中；同时也为花都争取大湾区重大基础设施、战略性平台等落地花都提供了契机。花都通过支持深圳中国特色社会主义先行示范区建设，积极争取加强与深圳的基础设施连通，进一步加强双方的全方位合作，发挥区位交通优势，依托“国际空铁枢纽”，全力打造“经济枢纽”，提升经济和人口承载力，释放交通优势，以白云国际机场三期扩建工程建设为契机，扩大对泛珠三角地区的辐射和带动，强化对内对外链接能力，为花都先进制造业及新兴产业发展带来新的发展机会。</w:t>
      </w:r>
    </w:p>
    <w:p w14:paraId="61B6D5C1">
      <w:pPr>
        <w:pStyle w:val="4"/>
        <w:spacing w:before="0" w:after="0" w:line="560" w:lineRule="exact"/>
        <w:ind w:firstLine="643" w:firstLineChars="200"/>
        <w:rPr>
          <w:rFonts w:ascii="仿宋_GB2312" w:hAnsi="Times New Roman" w:eastAsia="仿宋_GB2312"/>
          <w:bCs w:val="0"/>
        </w:rPr>
      </w:pPr>
      <w:bookmarkStart w:id="27" w:name="_Toc76826100"/>
      <w:r>
        <w:rPr>
          <w:rFonts w:hint="eastAsia" w:ascii="仿宋_GB2312" w:hAnsi="Times New Roman" w:eastAsia="仿宋_GB2312"/>
          <w:bCs w:val="0"/>
        </w:rPr>
        <w:t>4.国家优惠政策叠加为先进制造业发展创造良好政策环境</w:t>
      </w:r>
      <w:bookmarkEnd w:id="27"/>
    </w:p>
    <w:p w14:paraId="3503CD9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花都地处我国对外开放前沿、粤港澳大湾区核心区域，具有良好的区位优势和交通优势。近些年，国家先后授予花都国家绿色金融改革创新试验区、国家城乡融合发展试验区广清接合片区主要片区、国家级市场贸易方式试点区称号，也是国家级临空经济示范区主要承载地，要求花都在相关领域积极进行改革创新，推动经济社会持续健康发展。良好的区位交通优势，以及国家政策鼓励改革创新，将极大地促进花都制造业绿色发展、创新发展、智能发展，结合产业区块线划定、土地储备规划、留用地规划、村级工业园提升改造规划等，结合园区功能布局要求，合理搭配功能用地，提升园区地均效益。</w:t>
      </w:r>
    </w:p>
    <w:p w14:paraId="5FE86187">
      <w:pPr>
        <w:pStyle w:val="2"/>
        <w:spacing w:before="0" w:after="0" w:line="560" w:lineRule="exact"/>
        <w:ind w:firstLine="643" w:firstLineChars="200"/>
        <w:rPr>
          <w:rFonts w:ascii="楷体_GB2312" w:hAnsi="仿宋" w:eastAsia="楷体_GB2312"/>
        </w:rPr>
      </w:pPr>
      <w:bookmarkStart w:id="28" w:name="_Toc76826101"/>
      <w:r>
        <w:rPr>
          <w:rFonts w:hint="eastAsia" w:ascii="楷体_GB2312" w:hAnsi="仿宋" w:eastAsia="楷体_GB2312"/>
        </w:rPr>
        <w:t>（三）挑战</w:t>
      </w:r>
      <w:bookmarkEnd w:id="28"/>
    </w:p>
    <w:p w14:paraId="6A4CBC30">
      <w:pPr>
        <w:pStyle w:val="4"/>
        <w:spacing w:before="0" w:after="0" w:line="560" w:lineRule="exact"/>
        <w:ind w:firstLine="643" w:firstLineChars="200"/>
        <w:rPr>
          <w:rFonts w:ascii="仿宋_GB2312" w:hAnsi="Times New Roman" w:eastAsia="仿宋_GB2312"/>
          <w:bCs w:val="0"/>
        </w:rPr>
      </w:pPr>
      <w:bookmarkStart w:id="29" w:name="_Toc76826102"/>
      <w:r>
        <w:rPr>
          <w:rFonts w:hint="eastAsia" w:ascii="仿宋_GB2312" w:hAnsi="Times New Roman" w:eastAsia="仿宋_GB2312"/>
          <w:bCs w:val="0"/>
        </w:rPr>
        <w:t>1.世界经济不稳定因素带来的不确定性</w:t>
      </w:r>
      <w:bookmarkEnd w:id="29"/>
    </w:p>
    <w:p w14:paraId="453DC984">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全球经济增长动力依旧匮乏，经济增长存在诸多的不稳定和不确定因素，当前世界正处于大发展大变革大调整时期。第一，全球经济格局多极化将更明显，发达国家推动“再工业化”重塑竞争优势，新兴经济体崛起趋势不可逆转，发展中国家利用低成本优势吸引产业加速转移，印度、越南等国家竞争力日益提升。第二，国际经贸投资规则体系面临重塑。区域贸易协定缔结浪潮或呈愈演愈烈之势，对W</w:t>
      </w:r>
      <w:r>
        <w:rPr>
          <w:rFonts w:ascii="仿宋_GB2312" w:hAnsi="Times New Roman" w:eastAsia="仿宋_GB2312"/>
          <w:sz w:val="32"/>
          <w:szCs w:val="32"/>
        </w:rPr>
        <w:t>TO</w:t>
      </w:r>
      <w:r>
        <w:rPr>
          <w:rFonts w:hint="eastAsia" w:ascii="仿宋_GB2312" w:hAnsi="Times New Roman" w:eastAsia="仿宋_GB2312"/>
          <w:sz w:val="32"/>
          <w:szCs w:val="32"/>
        </w:rPr>
        <w:t>为核心的多边贸易体制造成巨大冲击，如美国正在抛开W</w:t>
      </w:r>
      <w:r>
        <w:rPr>
          <w:rFonts w:ascii="仿宋_GB2312" w:hAnsi="Times New Roman" w:eastAsia="仿宋_GB2312"/>
          <w:sz w:val="32"/>
          <w:szCs w:val="32"/>
        </w:rPr>
        <w:t>TO</w:t>
      </w:r>
      <w:r>
        <w:rPr>
          <w:rFonts w:hint="eastAsia" w:ascii="仿宋_GB2312" w:hAnsi="Times New Roman" w:eastAsia="仿宋_GB2312"/>
          <w:sz w:val="32"/>
          <w:szCs w:val="32"/>
        </w:rPr>
        <w:t>框架积极寻求双边贸易协议，国际经贸规则的“意大利面条碗”效应日益明显，国际贸易自由化面临严重挑战。第三，发达国家宏观政策分化，国际金融市场波动加大，保护主义明显升温，地缘政治、恐怖主义、网络安全等非经济因素影响日益增强。</w:t>
      </w:r>
    </w:p>
    <w:p w14:paraId="50F99703">
      <w:pPr>
        <w:pStyle w:val="4"/>
        <w:spacing w:before="0" w:after="0" w:line="560" w:lineRule="exact"/>
        <w:ind w:firstLine="643" w:firstLineChars="200"/>
        <w:rPr>
          <w:rFonts w:ascii="仿宋_GB2312" w:hAnsi="Times New Roman" w:eastAsia="仿宋_GB2312"/>
          <w:bCs w:val="0"/>
        </w:rPr>
      </w:pPr>
      <w:bookmarkStart w:id="30" w:name="_Toc76826103"/>
      <w:r>
        <w:rPr>
          <w:rFonts w:ascii="仿宋_GB2312" w:hAnsi="Times New Roman" w:eastAsia="仿宋_GB2312"/>
          <w:bCs w:val="0"/>
        </w:rPr>
        <w:t>2</w:t>
      </w:r>
      <w:r>
        <w:rPr>
          <w:rFonts w:hint="eastAsia" w:ascii="仿宋_GB2312" w:hAnsi="Times New Roman" w:eastAsia="仿宋_GB2312"/>
          <w:bCs w:val="0"/>
        </w:rPr>
        <w:t>.新冠疫情引发的各种不确定性构成潜在威胁</w:t>
      </w:r>
      <w:bookmarkEnd w:id="30"/>
    </w:p>
    <w:p w14:paraId="6A0638C8">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突如其来的新冠疫情严重影响全球经济活动，可能引发自1</w:t>
      </w:r>
      <w:r>
        <w:rPr>
          <w:rFonts w:ascii="仿宋_GB2312" w:hAnsi="Times New Roman" w:eastAsia="仿宋_GB2312"/>
          <w:sz w:val="32"/>
          <w:szCs w:val="32"/>
        </w:rPr>
        <w:t>930</w:t>
      </w:r>
      <w:r>
        <w:rPr>
          <w:rFonts w:hint="eastAsia" w:ascii="仿宋_GB2312" w:hAnsi="Times New Roman" w:eastAsia="仿宋_GB2312"/>
          <w:sz w:val="32"/>
          <w:szCs w:val="32"/>
        </w:rPr>
        <w:t>年大萧条以来的最强烈经济收缩，后续影响或将持续2</w:t>
      </w:r>
      <w:r>
        <w:rPr>
          <w:rFonts w:ascii="仿宋_GB2312" w:hAnsi="Times New Roman" w:eastAsia="仿宋_GB2312"/>
          <w:sz w:val="32"/>
          <w:szCs w:val="32"/>
        </w:rPr>
        <w:t>-3</w:t>
      </w:r>
      <w:r>
        <w:rPr>
          <w:rFonts w:hint="eastAsia" w:ascii="仿宋_GB2312" w:hAnsi="Times New Roman" w:eastAsia="仿宋_GB2312"/>
          <w:sz w:val="32"/>
          <w:szCs w:val="32"/>
        </w:rPr>
        <w:t>年，金融、能源、粮食等领域安全极易受到冲击，构成高质量发展极大的潜在威胁。一是经济活动受到重大冲击，生产停工、员工失业、供应链中断、贸易停止，引发全球性经济衰退，并且其负面影响将持续一段时间。二是受到经济衰退影响，全球债务风险进一步增加。三是全球产业链供应链将加速重构，由全球化水平分工更趋向本土化、区域化布局，发达国家实施的“再工业化”“制造业回归”等战略，以及东南亚等发展中国家的低成本优势，对区域供应链产业链安全构成了新挑战。</w:t>
      </w:r>
    </w:p>
    <w:p w14:paraId="15AD80A9">
      <w:pPr>
        <w:pStyle w:val="4"/>
        <w:spacing w:before="0" w:after="0" w:line="560" w:lineRule="exact"/>
        <w:ind w:firstLine="643" w:firstLineChars="200"/>
        <w:rPr>
          <w:rFonts w:ascii="仿宋_GB2312" w:hAnsi="Times New Roman" w:eastAsia="仿宋_GB2312"/>
          <w:bCs w:val="0"/>
        </w:rPr>
      </w:pPr>
      <w:bookmarkStart w:id="31" w:name="_Toc76826104"/>
      <w:r>
        <w:rPr>
          <w:rFonts w:ascii="仿宋_GB2312" w:hAnsi="Times New Roman" w:eastAsia="仿宋_GB2312"/>
          <w:bCs w:val="0"/>
        </w:rPr>
        <w:t>3</w:t>
      </w:r>
      <w:r>
        <w:rPr>
          <w:rFonts w:hint="eastAsia" w:ascii="仿宋_GB2312" w:hAnsi="Times New Roman" w:eastAsia="仿宋_GB2312"/>
          <w:bCs w:val="0"/>
        </w:rPr>
        <w:t>.国内经济下行压力持续加大带来的潜在风险</w:t>
      </w:r>
      <w:bookmarkEnd w:id="31"/>
    </w:p>
    <w:p w14:paraId="05C1786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国经济仍处于“大调整”的关键时期，结构性矛盾和周期性矛盾交织；中美贸易摩擦发展存在变数，新冠疫情长期影响仍存在不确定性，实体经济结构性供求失衡，“脱实向虚”问题仍然突出，实体经济受到挤压，且金融风险隐患增加。产业发展“大而不强”、区域经济发展差距显著、生态环保欠账较多等问题依旧普遍，仍需下大力气解决。</w:t>
      </w:r>
    </w:p>
    <w:p w14:paraId="32E19DA8">
      <w:pPr>
        <w:pStyle w:val="4"/>
        <w:spacing w:before="0" w:after="0" w:line="560" w:lineRule="exact"/>
        <w:ind w:firstLine="643" w:firstLineChars="200"/>
        <w:rPr>
          <w:rFonts w:ascii="仿宋_GB2312" w:hAnsi="Times New Roman" w:eastAsia="仿宋_GB2312"/>
          <w:bCs w:val="0"/>
        </w:rPr>
      </w:pPr>
      <w:bookmarkStart w:id="32" w:name="_Toc76826105"/>
      <w:r>
        <w:rPr>
          <w:rFonts w:hint="eastAsia" w:ascii="仿宋_GB2312" w:hAnsi="Times New Roman" w:eastAsia="仿宋_GB2312"/>
          <w:bCs w:val="0"/>
        </w:rPr>
        <w:t>4.区域协同竞争与自身发展的矛盾</w:t>
      </w:r>
      <w:bookmarkEnd w:id="32"/>
    </w:p>
    <w:p w14:paraId="03A59D54">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theme="majorBidi"/>
          <w:bCs/>
          <w:sz w:val="32"/>
          <w:szCs w:val="32"/>
        </w:rPr>
        <w:t>“十四五”时期，国家区域发展政策将更加注重区域协调发展，中心城市和城市群正在成为承载发展要素的主要空间形式，但区域内部竞争仍然激烈。中心城区、黄埔、增城、南沙、番禺区等区域都有布局重大功能性平台，花都在与它们竞争时政策、资金、人才等优势不足。新兴产业的发展，现代产业体系的完整程度，集聚重大项目条件的优越性，生产生活配套设施的完善对花都而言，仍是一大挑战。</w:t>
      </w:r>
    </w:p>
    <w:p w14:paraId="15818233">
      <w:pPr>
        <w:pStyle w:val="3"/>
        <w:spacing w:before="0" w:after="0" w:line="560" w:lineRule="exact"/>
        <w:rPr>
          <w:rFonts w:ascii="黑体" w:hAnsi="黑体" w:eastAsia="黑体"/>
          <w:b w:val="0"/>
          <w:sz w:val="32"/>
          <w:szCs w:val="32"/>
        </w:rPr>
      </w:pPr>
      <w:bookmarkStart w:id="33" w:name="_Toc76826106"/>
      <w:r>
        <w:rPr>
          <w:rFonts w:ascii="黑体" w:hAnsi="黑体" w:eastAsia="黑体"/>
          <w:b w:val="0"/>
          <w:sz w:val="32"/>
          <w:szCs w:val="32"/>
        </w:rPr>
        <w:t>三、总体要求</w:t>
      </w:r>
      <w:bookmarkEnd w:id="33"/>
    </w:p>
    <w:p w14:paraId="6559BA00">
      <w:pPr>
        <w:pStyle w:val="2"/>
        <w:spacing w:before="0" w:after="0" w:line="560" w:lineRule="exact"/>
        <w:ind w:firstLine="643" w:firstLineChars="200"/>
        <w:rPr>
          <w:rFonts w:ascii="楷体_GB2312" w:hAnsi="仿宋" w:eastAsia="楷体_GB2312"/>
        </w:rPr>
      </w:pPr>
      <w:bookmarkStart w:id="34" w:name="_Toc76826107"/>
      <w:r>
        <w:rPr>
          <w:rFonts w:hint="eastAsia" w:ascii="楷体_GB2312" w:hAnsi="仿宋" w:eastAsia="楷体_GB2312"/>
        </w:rPr>
        <w:t>（一）总体思路</w:t>
      </w:r>
      <w:bookmarkEnd w:id="34"/>
    </w:p>
    <w:p w14:paraId="107D5F61">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贯彻习近平总书记对广东重要讲话和重要指示批示精神，统筹推进经济建设、政治建设、文化建设、社会建设、生态文明建设的总体布局，协调推进全面建设社会主义现代化国家、全面深化改革、全面依法治国、全面从严治党的战略布局，立足新发展阶段，贯彻新发展理念，服务构建新发展格局，紧紧围绕提升花都“国际空铁枢纽、高端智造基地、创新活力都市、绿色幸福花都”建设水平，以先进制造业高质量发展为主线，抓住 “双区”建设等重大机遇，全面落实省、市制造业高质量发展战略部署的新要求，聚焦产业基础高级化和产业链现代化，着力构建高质量发展的现代制造业产业综合体系，推动花都制造由大变强，加快打造粤港澳大湾区北部高端智造基地。</w:t>
      </w:r>
    </w:p>
    <w:p w14:paraId="0C2B620F">
      <w:pPr>
        <w:pStyle w:val="2"/>
        <w:spacing w:before="0" w:after="0" w:line="560" w:lineRule="exact"/>
        <w:ind w:firstLine="643" w:firstLineChars="200"/>
        <w:rPr>
          <w:rFonts w:ascii="楷体_GB2312" w:hAnsi="仿宋" w:eastAsia="楷体_GB2312"/>
        </w:rPr>
      </w:pPr>
      <w:bookmarkStart w:id="35" w:name="_Toc76826108"/>
      <w:r>
        <w:rPr>
          <w:rFonts w:ascii="楷体_GB2312" w:hAnsi="仿宋" w:eastAsia="楷体_GB2312"/>
        </w:rPr>
        <w:t>（二）发展原则</w:t>
      </w:r>
      <w:bookmarkEnd w:id="35"/>
    </w:p>
    <w:p w14:paraId="73CF04C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创新发展。把创新摆在先进制造业发展全局的核心位置，以科技创新引领先进制造业高质量发展，不断提升供给体系的质量效益。紧紧围绕经济社会发展的迫切需要，充分发挥企业作为自主创新的主体作用，集聚创新资源，转化创新成果，为提升产业核心竞争力提供强大的科技支持。支持多种产业创新模式，构建制造业综合创新体系，全面提升制造业发展的科技含量，促进制造业高端化发展，形成“创新驱动”为主导的现代制造业发展模式，促进花都制造业产业链、供应链、价值链向中高端提升。</w:t>
      </w:r>
    </w:p>
    <w:p w14:paraId="0AAF525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融合发展。进一步深入推动“两化融合”，提高制造业融合发展水平和质量。深入开展两化融合管理体系应用推广，持续完善两化融合标准体系，探索加快数字经济发展的新理论、新方法和系统性解决方案。推进“新一代信息技术+制造业”，加快互联网、大数据、人工智能与制造业深度融合，加大对融合发展重点领域的支持力度，形成实体经济与新一代信息技术相互促进、同步提升的良好格局。要加快推进“两业融合”，同步促进制造业服务化与现代服务业带动制造业高端化发展，实现制造业转型升级，推动产业基础高级化。</w:t>
      </w:r>
    </w:p>
    <w:p w14:paraId="68912CD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绿色发展。以制造业绿色转型升级为重点，推进实施绿色制造工程，开展绿色工厂、绿色产品、绿色园区、绿色供应链的创建工作，以绿色制造助力制造业高质量发展。把推进制造业绿色发展作为落实生态文明建设的重要任务与推动新时代绿色发展的方向和路径，加快制造业向绿色、高端、智能、服务方向转型升级。不断加大资源综合利用力度，全面推进产品绿色设计、构建绿色制造体系、实现绿色增长。加快推动绿色制造体系建设，打造一批绿色制造先进典型，引领相关领域制造业绿色化转型。</w:t>
      </w:r>
    </w:p>
    <w:p w14:paraId="332B8B5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协同发展。要注重制造业发展与科技创新、人力资源、现代金融等资源要素的协同性，进一步加强科技创新的一体化布局和资源共享，整合有效资源，平衡利益关系，创新协同发展体制机制，以资源要素的高端化集聚促进制造业高端化发展；要加快制造业结构调整，围绕产业链现代化，正确把握制造业发展和相关产业协同发展的关系，加快补齐发展短板，增强发展的协同水平，进一步提升制造业核心竞争力。推进制造业集群化布局，优化调整市域制造业发展空间，深化改革创新，强化与周边城市的合作共赢，以共建协同等模式，向区域外拓展产业空间，有效促进花都同周边城市制造业产业链、价值链、创新链、供应链之间合作，为打造粤港澳大湾区北部高端智造业基地奠定基础。</w:t>
      </w:r>
    </w:p>
    <w:p w14:paraId="29D67D6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坚持开放发展。把开放发展作为建设先进制造强区的重要动力，通过推出系列举措改善优化制造业开放发展环境。发挥珠三角重要先进制造业基地作用，抓住“双区”建设、“双循环”新发展格局等重大机遇，推动制造业创新发展和创新合作，挖掘“泛珠”市场潜力。积极参与“一带一路”建设，发挥好国家绿色金融试验区、国家市场贸易采购方式试点的政策优势，加快形成“一带一路”大联通的要素市场、服务市场、资本市场、技术市场等，构建新型产业分工体系。进一步扩大开放，积极参与和推动国际产能合作，拓展海外发展空间，充分融入全球产业链，形成“你中有我，我中有你，无法切割”的战略态势，携手大湾区城市共建具有国际竞争力的先进制造业基地。</w:t>
      </w:r>
    </w:p>
    <w:p w14:paraId="3A8E2C38">
      <w:pPr>
        <w:pStyle w:val="2"/>
        <w:spacing w:before="0" w:after="0" w:line="560" w:lineRule="exact"/>
        <w:ind w:firstLine="643" w:firstLineChars="200"/>
        <w:rPr>
          <w:rFonts w:ascii="楷体_GB2312" w:hAnsi="仿宋" w:eastAsia="楷体_GB2312"/>
        </w:rPr>
      </w:pPr>
      <w:bookmarkStart w:id="36" w:name="_Toc76826109"/>
      <w:r>
        <w:rPr>
          <w:rFonts w:hint="eastAsia" w:ascii="楷体_GB2312" w:hAnsi="仿宋" w:eastAsia="楷体_GB2312"/>
        </w:rPr>
        <w:t>（三）</w:t>
      </w:r>
      <w:r>
        <w:rPr>
          <w:rFonts w:ascii="楷体_GB2312" w:hAnsi="仿宋" w:eastAsia="楷体_GB2312"/>
        </w:rPr>
        <w:t>发展目标</w:t>
      </w:r>
      <w:bookmarkEnd w:id="36"/>
    </w:p>
    <w:p w14:paraId="3F69BF2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到2025年，全区推动先进制造业综合创新和高质量发展取得明显成效。制造业综合创新体系基本建立，制造业创新能力和技术水平大幅提升，新旧动能转换加速推进，制造业发展总体处于全球价值链的中高端环节；产业结构明显优化，新的主导产业培育加快，战略性新兴产业快速发展，高质量发展的现代制造业产业综合体系初步形成，先进制造业支撑地位进一步巩固；制造业绿色化水平进一步提高，工业增加值能耗、物耗和污染物排放接近或达到国际先进水平，产业开放合作水平进一步提高，区域协同发展取得明显成效；建成粤港澳大湾区北部高端智造业基地。</w:t>
      </w:r>
    </w:p>
    <w:p w14:paraId="3FD0101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——产业规模质量稳步提升。</w:t>
      </w:r>
      <w:r>
        <w:rPr>
          <w:rFonts w:hint="eastAsia" w:ascii="仿宋_GB2312" w:hAnsi="Times New Roman" w:eastAsia="仿宋_GB2312"/>
          <w:color w:val="auto"/>
          <w:sz w:val="32"/>
          <w:szCs w:val="32"/>
        </w:rPr>
        <w:t>到2025年，全区规上工业总产值实现</w:t>
      </w:r>
      <w:r>
        <w:rPr>
          <w:rFonts w:hint="eastAsia" w:ascii="仿宋_GB2312" w:hAnsi="Times New Roman" w:eastAsia="仿宋_GB2312"/>
          <w:color w:val="auto"/>
          <w:sz w:val="32"/>
          <w:szCs w:val="32"/>
          <w:lang w:val="en-US" w:eastAsia="zh-CN"/>
        </w:rPr>
        <w:t>3405</w:t>
      </w:r>
      <w:r>
        <w:rPr>
          <w:rFonts w:hint="eastAsia" w:ascii="仿宋_GB2312" w:hAnsi="Times New Roman" w:eastAsia="仿宋_GB2312"/>
          <w:color w:val="auto"/>
          <w:sz w:val="32"/>
          <w:szCs w:val="32"/>
        </w:rPr>
        <w:t>亿元，年均增长</w:t>
      </w:r>
      <w:r>
        <w:rPr>
          <w:rFonts w:hint="eastAsia" w:ascii="仿宋_GB2312" w:hAnsi="Times New Roman" w:eastAsia="仿宋_GB2312"/>
          <w:color w:val="auto"/>
          <w:sz w:val="32"/>
          <w:szCs w:val="32"/>
          <w:lang w:val="en-US" w:eastAsia="zh-CN"/>
        </w:rPr>
        <w:t>5.0</w:t>
      </w:r>
      <w:r>
        <w:rPr>
          <w:rFonts w:hint="eastAsia" w:ascii="仿宋_GB2312" w:hAnsi="Times New Roman" w:eastAsia="仿宋_GB2312"/>
          <w:color w:val="auto"/>
          <w:sz w:val="32"/>
          <w:szCs w:val="32"/>
        </w:rPr>
        <w:t>%；工业增加值增长到</w:t>
      </w:r>
      <w:r>
        <w:rPr>
          <w:rFonts w:hint="eastAsia" w:ascii="仿宋_GB2312" w:hAnsi="Times New Roman" w:eastAsia="仿宋_GB2312"/>
          <w:color w:val="auto"/>
          <w:sz w:val="32"/>
          <w:szCs w:val="32"/>
          <w:lang w:val="en-US" w:eastAsia="zh-CN"/>
        </w:rPr>
        <w:t>639</w:t>
      </w:r>
      <w:r>
        <w:rPr>
          <w:rFonts w:hint="eastAsia" w:ascii="仿宋_GB2312" w:hAnsi="Times New Roman" w:eastAsia="仿宋_GB2312"/>
          <w:color w:val="auto"/>
          <w:sz w:val="32"/>
          <w:szCs w:val="32"/>
        </w:rPr>
        <w:t>亿元，年均增长</w:t>
      </w:r>
      <w:r>
        <w:rPr>
          <w:rFonts w:hint="eastAsia" w:ascii="仿宋_GB2312" w:hAnsi="Times New Roman" w:eastAsia="仿宋_GB2312"/>
          <w:color w:val="auto"/>
          <w:sz w:val="32"/>
          <w:szCs w:val="32"/>
          <w:lang w:val="en-US" w:eastAsia="zh-CN"/>
        </w:rPr>
        <w:t>1.0</w:t>
      </w:r>
      <w:r>
        <w:rPr>
          <w:rFonts w:hint="eastAsia" w:ascii="仿宋_GB2312" w:hAnsi="Times New Roman" w:eastAsia="仿宋_GB2312"/>
          <w:color w:val="auto"/>
          <w:sz w:val="32"/>
          <w:szCs w:val="32"/>
        </w:rPr>
        <w:t>%。先进制造业增加值以年均</w:t>
      </w:r>
      <w:r>
        <w:rPr>
          <w:rFonts w:hint="eastAsia" w:ascii="仿宋_GB2312" w:hAnsi="Times New Roman" w:eastAsia="仿宋_GB2312"/>
          <w:color w:val="auto"/>
          <w:sz w:val="32"/>
          <w:szCs w:val="32"/>
          <w:lang w:val="en-US" w:eastAsia="zh-CN"/>
        </w:rPr>
        <w:t>6.0</w:t>
      </w:r>
      <w:r>
        <w:rPr>
          <w:rFonts w:hint="eastAsia" w:ascii="仿宋_GB2312" w:hAnsi="Times New Roman" w:eastAsia="仿宋_GB2312"/>
          <w:color w:val="auto"/>
          <w:sz w:val="32"/>
          <w:szCs w:val="32"/>
        </w:rPr>
        <w:t>%的速度增长，2025年达到</w:t>
      </w:r>
      <w:r>
        <w:rPr>
          <w:rFonts w:hint="eastAsia" w:ascii="仿宋_GB2312" w:hAnsi="Times New Roman" w:eastAsia="仿宋_GB2312"/>
          <w:color w:val="auto"/>
          <w:sz w:val="32"/>
          <w:szCs w:val="32"/>
          <w:lang w:val="en-US" w:eastAsia="zh-CN"/>
        </w:rPr>
        <w:t>739</w:t>
      </w:r>
      <w:r>
        <w:rPr>
          <w:rFonts w:hint="eastAsia" w:ascii="仿宋_GB2312" w:hAnsi="Times New Roman" w:eastAsia="仿宋_GB2312"/>
          <w:color w:val="auto"/>
          <w:sz w:val="32"/>
          <w:szCs w:val="32"/>
        </w:rPr>
        <w:t>亿元左右。工业投资5年累计</w:t>
      </w:r>
      <w:r>
        <w:rPr>
          <w:rFonts w:hint="eastAsia" w:ascii="仿宋_GB2312" w:hAnsi="Times New Roman" w:eastAsia="仿宋_GB2312"/>
          <w:color w:val="auto"/>
          <w:sz w:val="32"/>
          <w:szCs w:val="32"/>
          <w:lang w:val="en-US" w:eastAsia="zh-CN"/>
        </w:rPr>
        <w:t>400</w:t>
      </w:r>
      <w:r>
        <w:rPr>
          <w:rFonts w:hint="eastAsia" w:ascii="仿宋_GB2312" w:hAnsi="Times New Roman" w:eastAsia="仿宋_GB2312"/>
          <w:color w:val="auto"/>
          <w:sz w:val="32"/>
          <w:szCs w:val="32"/>
        </w:rPr>
        <w:t>亿元。</w:t>
      </w:r>
      <w:r>
        <w:rPr>
          <w:rFonts w:hint="eastAsia" w:ascii="仿宋_GB2312" w:hAnsi="Times New Roman" w:eastAsia="仿宋_GB2312"/>
          <w:color w:val="FF0000"/>
          <w:sz w:val="32"/>
          <w:szCs w:val="32"/>
        </w:rPr>
        <w:t>园区单位土地面积税收产出***亿元/平方公里。工业全员劳动生产率增加到***万元/人，超过全省平均水平。</w:t>
      </w:r>
    </w:p>
    <w:p w14:paraId="39B2E4B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——产业结构不断优化。</w:t>
      </w:r>
      <w:r>
        <w:rPr>
          <w:rFonts w:hint="eastAsia" w:ascii="仿宋_GB2312" w:hAnsi="Times New Roman" w:eastAsia="仿宋_GB2312"/>
          <w:color w:val="FF0000"/>
          <w:sz w:val="32"/>
          <w:szCs w:val="32"/>
        </w:rPr>
        <w:t>到2025年，先进制造业增加值占规模以上工业增加值比重达到***%，战略性新兴产业增加值占规上工业增加值比重达到***%，高新技术产品产值占工业总产值比重达到***%。</w:t>
      </w:r>
      <w:r>
        <w:rPr>
          <w:rFonts w:hint="eastAsia" w:ascii="仿宋_GB2312" w:hAnsi="Times New Roman" w:eastAsia="仿宋_GB2312"/>
          <w:sz w:val="32"/>
          <w:szCs w:val="32"/>
        </w:rPr>
        <w:t>制造业向高端、智能、绿色方向转型升级加快，新旧动能接续转换，先进装备制造业、战略性新兴产业和高技术制造业快速发展。汽车制造等先进制造业实力进一步增强，智能装备等其他战略性支柱产业及战略性新兴产业实力不断提升，形成创新水平高、竞争能力强、产业均衡发展的现代制造业产业综合体系。</w:t>
      </w:r>
    </w:p>
    <w:p w14:paraId="33069CEC">
      <w:pPr>
        <w:spacing w:line="560" w:lineRule="exact"/>
        <w:ind w:firstLine="640" w:firstLineChars="200"/>
        <w:rPr>
          <w:rFonts w:ascii="仿宋_GB2312" w:hAnsi="Times New Roman" w:eastAsia="仿宋_GB2312"/>
          <w:color w:val="auto"/>
          <w:sz w:val="32"/>
          <w:szCs w:val="32"/>
        </w:rPr>
      </w:pPr>
      <w:r>
        <w:rPr>
          <w:rFonts w:hint="eastAsia" w:ascii="仿宋_GB2312" w:hAnsi="Times New Roman" w:eastAsia="仿宋_GB2312"/>
          <w:sz w:val="32"/>
          <w:szCs w:val="32"/>
        </w:rPr>
        <w:t>——创新能力显著增强。</w:t>
      </w:r>
      <w:r>
        <w:rPr>
          <w:rFonts w:hint="eastAsia" w:ascii="仿宋_GB2312" w:hAnsi="Times New Roman" w:eastAsia="仿宋_GB2312"/>
          <w:color w:val="auto"/>
          <w:sz w:val="32"/>
          <w:szCs w:val="32"/>
        </w:rPr>
        <w:t>到2025年，全区R&amp;D经费占GDP比重达到2.34%；制造业高新技术企业数超700家；全区技术合同交易额超50亿元，设立研发机构的工业企业数量覆盖率超过58%。数字化车间/智能工厂、智能管理、智能服务等试点示范及应用推广取得实质性成果，全面融入广深港澳科技创新走廊建设，营造一流的科技创新和产业生态。</w:t>
      </w:r>
    </w:p>
    <w:p w14:paraId="23F2E543">
      <w:pPr>
        <w:spacing w:line="560" w:lineRule="exact"/>
        <w:ind w:firstLine="640" w:firstLineChars="200"/>
        <w:rPr>
          <w:rFonts w:ascii="仿宋_GB2312" w:hAnsi="Times New Roman" w:eastAsia="仿宋_GB2312"/>
          <w:color w:val="FF0000"/>
          <w:sz w:val="32"/>
          <w:szCs w:val="32"/>
        </w:rPr>
      </w:pPr>
      <w:r>
        <w:rPr>
          <w:rFonts w:hint="eastAsia" w:ascii="仿宋_GB2312" w:hAnsi="Times New Roman" w:eastAsia="仿宋_GB2312"/>
          <w:sz w:val="32"/>
          <w:szCs w:val="32"/>
        </w:rPr>
        <w:t>——“两化融合”深入发展。新一代信息技术在制造业关键领域应用进一步深入，“两化融合”“两业融合”取得实质性进展。</w:t>
      </w:r>
      <w:r>
        <w:rPr>
          <w:rFonts w:hint="eastAsia" w:ascii="仿宋_GB2312" w:hAnsi="Times New Roman" w:eastAsia="仿宋_GB2312"/>
          <w:color w:val="FF0000"/>
          <w:sz w:val="32"/>
          <w:szCs w:val="32"/>
        </w:rPr>
        <w:t>到2025年，工业两化融合发展指数达到***%，保持位居全国前列；制造业数字化、网络化、智能化取得明显进展，制造业数字化研发设计工具普及率超过***%，重点行业关键工序数控化率达到***%，形成多条新一代信息技术与制造业融合发展的先进制造业产业链；服务型制造业加快发展，引进和培育两化融合贯标企业***家。</w:t>
      </w:r>
    </w:p>
    <w:p w14:paraId="7607F0C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绿色发展取得积极成效。绿色设计平台建设、绿色关键工艺突破、绿色供应链系统构建三大方向发力，制造业绿色发展成效显著。规上单位工业增加值综合能耗、用水量、二氧化硫和废水的排放量进一步下降。到</w:t>
      </w:r>
      <w:r>
        <w:rPr>
          <w:rFonts w:hint="eastAsia" w:ascii="仿宋_GB2312" w:hAnsi="Times New Roman" w:eastAsia="仿宋_GB2312"/>
          <w:color w:val="FF0000"/>
          <w:sz w:val="32"/>
          <w:szCs w:val="32"/>
        </w:rPr>
        <w:t>2025年，单位工业增加值综合能耗比2020年下降***%，单位工业增加值用水量比2020年下降***%，</w:t>
      </w:r>
      <w:r>
        <w:rPr>
          <w:rFonts w:hint="eastAsia" w:ascii="仿宋_GB2312" w:hAnsi="Times New Roman" w:eastAsia="仿宋_GB2312"/>
          <w:sz w:val="32"/>
          <w:szCs w:val="32"/>
        </w:rPr>
        <w:t>单位工业增加值二氧化碳排放量比2020年下降***%。</w:t>
      </w:r>
    </w:p>
    <w:p w14:paraId="27A9DD8C">
      <w:pPr>
        <w:spacing w:line="560" w:lineRule="exact"/>
        <w:ind w:firstLine="640" w:firstLineChars="200"/>
        <w:rPr>
          <w:rFonts w:ascii="仿宋" w:hAnsi="仿宋" w:eastAsia="仿宋"/>
          <w:b/>
          <w:bCs/>
          <w:sz w:val="28"/>
          <w:szCs w:val="28"/>
        </w:rPr>
      </w:pPr>
      <w:r>
        <w:rPr>
          <w:rFonts w:hint="eastAsia" w:ascii="仿宋_GB2312" w:hAnsi="Times New Roman" w:eastAsia="仿宋_GB2312"/>
          <w:sz w:val="32"/>
          <w:szCs w:val="32"/>
        </w:rPr>
        <w:t>——开放合作不断深化。到2025年，花都全面融入粤港澳大湾区先进制造业基地建设，与粤港澳大湾区各地市间的区域产业协作和协同创新体系初步形成；花都与佛山合作进一步深化，广佛高质量融合发展试验区建设取得重大进展；花都与广州各区及周边区域实现优势互补和联动发展，与“一带一路”沿线国家及欧美发达地区的产业合作更加深入，全面融入全球产业链和价值链。</w:t>
      </w:r>
    </w:p>
    <w:p w14:paraId="42569884">
      <w:pPr>
        <w:jc w:val="center"/>
        <w:rPr>
          <w:rFonts w:ascii="仿宋_GB2312" w:hAnsi="仿宋" w:eastAsia="仿宋_GB2312"/>
          <w:b/>
          <w:bCs/>
          <w:color w:val="FF0000"/>
          <w:sz w:val="28"/>
          <w:szCs w:val="28"/>
        </w:rPr>
      </w:pPr>
      <w:r>
        <w:rPr>
          <w:rFonts w:hint="eastAsia" w:ascii="仿宋_GB2312" w:hAnsi="仿宋" w:eastAsia="仿宋_GB2312"/>
          <w:b/>
          <w:bCs/>
          <w:color w:val="FF0000"/>
          <w:sz w:val="28"/>
          <w:szCs w:val="28"/>
        </w:rPr>
        <w:t>表3-1 花都区“十四五”先进制造业主要指标规划目标表</w:t>
      </w:r>
    </w:p>
    <w:tbl>
      <w:tblPr>
        <w:tblStyle w:val="9"/>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3033"/>
        <w:gridCol w:w="750"/>
        <w:gridCol w:w="915"/>
        <w:gridCol w:w="900"/>
        <w:gridCol w:w="945"/>
        <w:gridCol w:w="1230"/>
      </w:tblGrid>
      <w:tr w14:paraId="6B7F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3" w:type="dxa"/>
            <w:vMerge w:val="restart"/>
            <w:vAlign w:val="center"/>
          </w:tcPr>
          <w:p w14:paraId="600561B8">
            <w:pPr>
              <w:jc w:val="center"/>
              <w:rPr>
                <w:rFonts w:ascii="仿宋_GB2312" w:hAnsi="Times New Roman" w:eastAsia="仿宋_GB2312"/>
                <w:b/>
                <w:bCs/>
                <w:sz w:val="24"/>
                <w:szCs w:val="24"/>
              </w:rPr>
            </w:pPr>
            <w:r>
              <w:rPr>
                <w:rFonts w:hint="eastAsia" w:ascii="仿宋_GB2312" w:hAnsi="Times New Roman" w:eastAsia="仿宋_GB2312" w:cs="Times New Roman"/>
                <w:b/>
                <w:bCs/>
                <w:sz w:val="24"/>
                <w:szCs w:val="24"/>
              </w:rPr>
              <w:t>类别</w:t>
            </w:r>
          </w:p>
        </w:tc>
        <w:tc>
          <w:tcPr>
            <w:tcW w:w="3033" w:type="dxa"/>
            <w:vMerge w:val="restart"/>
            <w:vAlign w:val="center"/>
          </w:tcPr>
          <w:p w14:paraId="47AD1AC3">
            <w:pPr>
              <w:jc w:val="center"/>
              <w:rPr>
                <w:rFonts w:ascii="仿宋_GB2312" w:hAnsi="Times New Roman" w:eastAsia="仿宋_GB2312"/>
                <w:b/>
                <w:bCs/>
                <w:sz w:val="24"/>
                <w:szCs w:val="24"/>
              </w:rPr>
            </w:pPr>
            <w:r>
              <w:rPr>
                <w:rFonts w:hint="eastAsia" w:ascii="仿宋_GB2312" w:hAnsi="Times New Roman" w:eastAsia="仿宋_GB2312" w:cs="Times New Roman"/>
                <w:b/>
                <w:bCs/>
                <w:sz w:val="24"/>
                <w:szCs w:val="24"/>
              </w:rPr>
              <w:t>指标</w:t>
            </w:r>
          </w:p>
        </w:tc>
        <w:tc>
          <w:tcPr>
            <w:tcW w:w="750" w:type="dxa"/>
            <w:vMerge w:val="restart"/>
            <w:vAlign w:val="center"/>
          </w:tcPr>
          <w:p w14:paraId="4BF44E3D">
            <w:pPr>
              <w:jc w:val="center"/>
              <w:rPr>
                <w:rFonts w:ascii="仿宋_GB2312" w:hAnsi="Times New Roman" w:eastAsia="仿宋_GB2312"/>
                <w:b/>
                <w:bCs/>
                <w:sz w:val="24"/>
                <w:szCs w:val="24"/>
              </w:rPr>
            </w:pPr>
            <w:r>
              <w:rPr>
                <w:rFonts w:hint="eastAsia" w:ascii="仿宋_GB2312" w:hAnsi="Times New Roman" w:eastAsia="仿宋_GB2312" w:cs="Times New Roman"/>
                <w:b/>
                <w:bCs/>
                <w:sz w:val="24"/>
                <w:szCs w:val="24"/>
              </w:rPr>
              <w:t>单位</w:t>
            </w:r>
          </w:p>
        </w:tc>
        <w:tc>
          <w:tcPr>
            <w:tcW w:w="915" w:type="dxa"/>
            <w:vMerge w:val="restart"/>
            <w:vAlign w:val="center"/>
          </w:tcPr>
          <w:p w14:paraId="4E2454BD">
            <w:pPr>
              <w:jc w:val="center"/>
              <w:rPr>
                <w:rFonts w:ascii="仿宋_GB2312" w:hAnsi="Times New Roman" w:eastAsia="仿宋_GB2312"/>
                <w:b/>
                <w:bCs/>
                <w:sz w:val="24"/>
                <w:szCs w:val="24"/>
              </w:rPr>
            </w:pPr>
            <w:r>
              <w:rPr>
                <w:rFonts w:hint="eastAsia" w:ascii="仿宋_GB2312" w:hAnsi="Times New Roman" w:eastAsia="仿宋_GB2312" w:cs="Times New Roman"/>
                <w:b/>
                <w:bCs/>
                <w:sz w:val="24"/>
                <w:szCs w:val="24"/>
              </w:rPr>
              <w:t>2020年</w:t>
            </w:r>
          </w:p>
        </w:tc>
        <w:tc>
          <w:tcPr>
            <w:tcW w:w="1845" w:type="dxa"/>
            <w:gridSpan w:val="2"/>
            <w:vAlign w:val="center"/>
          </w:tcPr>
          <w:p w14:paraId="162FC984">
            <w:pPr>
              <w:jc w:val="center"/>
              <w:rPr>
                <w:rFonts w:ascii="仿宋_GB2312" w:hAnsi="Times New Roman" w:eastAsia="仿宋_GB2312"/>
                <w:b/>
                <w:bCs/>
                <w:sz w:val="24"/>
                <w:szCs w:val="24"/>
              </w:rPr>
            </w:pPr>
            <w:r>
              <w:rPr>
                <w:rFonts w:hint="eastAsia" w:ascii="仿宋_GB2312" w:hAnsi="Times New Roman" w:eastAsia="仿宋_GB2312" w:cs="Times New Roman"/>
                <w:b/>
                <w:bCs/>
                <w:sz w:val="24"/>
                <w:szCs w:val="24"/>
              </w:rPr>
              <w:t>“十四五”规划目标</w:t>
            </w:r>
          </w:p>
        </w:tc>
        <w:tc>
          <w:tcPr>
            <w:tcW w:w="1230" w:type="dxa"/>
            <w:vMerge w:val="restart"/>
            <w:vAlign w:val="center"/>
          </w:tcPr>
          <w:p w14:paraId="70D09E8F">
            <w:pPr>
              <w:jc w:val="center"/>
              <w:rPr>
                <w:rFonts w:ascii="仿宋_GB2312" w:hAnsi="Times New Roman" w:eastAsia="仿宋_GB2312" w:cs="Times New Roman"/>
                <w:b/>
                <w:bCs/>
                <w:sz w:val="24"/>
                <w:szCs w:val="24"/>
              </w:rPr>
            </w:pPr>
            <w:r>
              <w:rPr>
                <w:rFonts w:hint="eastAsia" w:ascii="仿宋_GB2312" w:hAnsi="Times New Roman" w:eastAsia="仿宋_GB2312" w:cs="Times New Roman"/>
                <w:b/>
                <w:bCs/>
                <w:sz w:val="24"/>
                <w:szCs w:val="24"/>
              </w:rPr>
              <w:t>属性</w:t>
            </w:r>
          </w:p>
        </w:tc>
      </w:tr>
      <w:tr w14:paraId="62AA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3" w:type="dxa"/>
            <w:vMerge w:val="continue"/>
            <w:vAlign w:val="center"/>
          </w:tcPr>
          <w:p w14:paraId="0DBD411D">
            <w:pPr>
              <w:jc w:val="center"/>
              <w:rPr>
                <w:rFonts w:ascii="仿宋_GB2312" w:hAnsi="Times New Roman" w:eastAsia="仿宋_GB2312"/>
                <w:b/>
                <w:bCs/>
                <w:sz w:val="24"/>
                <w:szCs w:val="24"/>
              </w:rPr>
            </w:pPr>
          </w:p>
        </w:tc>
        <w:tc>
          <w:tcPr>
            <w:tcW w:w="3033" w:type="dxa"/>
            <w:vMerge w:val="continue"/>
            <w:vAlign w:val="center"/>
          </w:tcPr>
          <w:p w14:paraId="4595F73D">
            <w:pPr>
              <w:jc w:val="center"/>
              <w:rPr>
                <w:rFonts w:ascii="仿宋_GB2312" w:hAnsi="Times New Roman" w:eastAsia="仿宋_GB2312"/>
                <w:b/>
                <w:bCs/>
                <w:sz w:val="24"/>
                <w:szCs w:val="24"/>
              </w:rPr>
            </w:pPr>
          </w:p>
        </w:tc>
        <w:tc>
          <w:tcPr>
            <w:tcW w:w="750" w:type="dxa"/>
            <w:vMerge w:val="continue"/>
            <w:vAlign w:val="center"/>
          </w:tcPr>
          <w:p w14:paraId="42A05749">
            <w:pPr>
              <w:jc w:val="center"/>
              <w:rPr>
                <w:rFonts w:ascii="仿宋_GB2312" w:hAnsi="Times New Roman" w:eastAsia="仿宋_GB2312"/>
                <w:b/>
                <w:bCs/>
                <w:sz w:val="24"/>
                <w:szCs w:val="24"/>
              </w:rPr>
            </w:pPr>
          </w:p>
        </w:tc>
        <w:tc>
          <w:tcPr>
            <w:tcW w:w="915" w:type="dxa"/>
            <w:vMerge w:val="continue"/>
            <w:vAlign w:val="center"/>
          </w:tcPr>
          <w:p w14:paraId="709C7F11">
            <w:pPr>
              <w:jc w:val="center"/>
              <w:rPr>
                <w:rFonts w:ascii="仿宋_GB2312" w:hAnsi="Times New Roman" w:eastAsia="仿宋_GB2312"/>
                <w:b/>
                <w:bCs/>
                <w:sz w:val="24"/>
                <w:szCs w:val="24"/>
              </w:rPr>
            </w:pPr>
          </w:p>
        </w:tc>
        <w:tc>
          <w:tcPr>
            <w:tcW w:w="900" w:type="dxa"/>
            <w:vAlign w:val="center"/>
          </w:tcPr>
          <w:p w14:paraId="1E7C3E03">
            <w:pPr>
              <w:jc w:val="center"/>
              <w:rPr>
                <w:rFonts w:ascii="仿宋_GB2312" w:hAnsi="Times New Roman" w:eastAsia="仿宋_GB2312"/>
                <w:b/>
                <w:bCs/>
                <w:sz w:val="24"/>
                <w:szCs w:val="24"/>
              </w:rPr>
            </w:pPr>
            <w:r>
              <w:rPr>
                <w:rFonts w:hint="eastAsia" w:ascii="仿宋_GB2312" w:hAnsi="Times New Roman" w:eastAsia="仿宋_GB2312" w:cs="Times New Roman"/>
                <w:b/>
                <w:bCs/>
                <w:sz w:val="24"/>
                <w:szCs w:val="24"/>
              </w:rPr>
              <w:t>2025年</w:t>
            </w:r>
          </w:p>
        </w:tc>
        <w:tc>
          <w:tcPr>
            <w:tcW w:w="945" w:type="dxa"/>
            <w:vAlign w:val="center"/>
          </w:tcPr>
          <w:p w14:paraId="16498670">
            <w:pPr>
              <w:jc w:val="center"/>
              <w:rPr>
                <w:rFonts w:ascii="仿宋_GB2312" w:hAnsi="Times New Roman" w:eastAsia="仿宋_GB2312"/>
                <w:b/>
                <w:bCs/>
                <w:sz w:val="24"/>
                <w:szCs w:val="24"/>
              </w:rPr>
            </w:pPr>
            <w:r>
              <w:rPr>
                <w:rFonts w:hint="eastAsia" w:ascii="仿宋_GB2312" w:hAnsi="Times New Roman" w:eastAsia="仿宋_GB2312" w:cs="Times New Roman"/>
                <w:b/>
                <w:bCs/>
                <w:sz w:val="24"/>
                <w:szCs w:val="24"/>
              </w:rPr>
              <w:t>年均增长（%）</w:t>
            </w:r>
          </w:p>
        </w:tc>
        <w:tc>
          <w:tcPr>
            <w:tcW w:w="1230" w:type="dxa"/>
            <w:vMerge w:val="continue"/>
            <w:vAlign w:val="center"/>
          </w:tcPr>
          <w:p w14:paraId="5CAC0317">
            <w:pPr>
              <w:jc w:val="center"/>
              <w:rPr>
                <w:rFonts w:ascii="仿宋_GB2312" w:hAnsi="Times New Roman" w:eastAsia="仿宋_GB2312" w:cs="Times New Roman"/>
                <w:b/>
                <w:bCs/>
                <w:sz w:val="24"/>
                <w:szCs w:val="24"/>
              </w:rPr>
            </w:pPr>
          </w:p>
        </w:tc>
      </w:tr>
      <w:tr w14:paraId="3E25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trPr>
        <w:tc>
          <w:tcPr>
            <w:tcW w:w="653" w:type="dxa"/>
            <w:vMerge w:val="restart"/>
            <w:vAlign w:val="center"/>
          </w:tcPr>
          <w:p w14:paraId="549D9F44">
            <w:pPr>
              <w:jc w:val="center"/>
              <w:rPr>
                <w:rFonts w:ascii="仿宋_GB2312" w:hAnsi="Times New Roman" w:eastAsia="仿宋_GB2312"/>
                <w:sz w:val="24"/>
                <w:szCs w:val="24"/>
              </w:rPr>
            </w:pPr>
          </w:p>
          <w:p w14:paraId="6AB8BA8C">
            <w:pPr>
              <w:jc w:val="center"/>
              <w:rPr>
                <w:rFonts w:ascii="仿宋_GB2312" w:hAnsi="Times New Roman" w:eastAsia="仿宋_GB2312"/>
                <w:sz w:val="24"/>
                <w:szCs w:val="24"/>
              </w:rPr>
            </w:pPr>
            <w:r>
              <w:rPr>
                <w:rFonts w:hint="eastAsia" w:ascii="仿宋_GB2312" w:hAnsi="Times New Roman" w:eastAsia="仿宋_GB2312" w:cs="Times New Roman"/>
                <w:sz w:val="24"/>
                <w:szCs w:val="24"/>
              </w:rPr>
              <w:t>规模效益</w:t>
            </w:r>
          </w:p>
          <w:p w14:paraId="600A2A9B">
            <w:pPr>
              <w:jc w:val="center"/>
              <w:rPr>
                <w:rFonts w:ascii="仿宋_GB2312" w:hAnsi="Times New Roman" w:eastAsia="仿宋_GB2312"/>
                <w:sz w:val="24"/>
                <w:szCs w:val="24"/>
              </w:rPr>
            </w:pPr>
          </w:p>
        </w:tc>
        <w:tc>
          <w:tcPr>
            <w:tcW w:w="3033" w:type="dxa"/>
            <w:vAlign w:val="center"/>
          </w:tcPr>
          <w:p w14:paraId="20A269BC">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规上工业总产值</w:t>
            </w:r>
          </w:p>
        </w:tc>
        <w:tc>
          <w:tcPr>
            <w:tcW w:w="750" w:type="dxa"/>
            <w:vAlign w:val="center"/>
          </w:tcPr>
          <w:p w14:paraId="4F31E875">
            <w:pPr>
              <w:jc w:val="center"/>
              <w:rPr>
                <w:rFonts w:ascii="仿宋_GB2312" w:hAnsi="Times New Roman" w:eastAsia="仿宋_GB2312"/>
                <w:sz w:val="24"/>
                <w:szCs w:val="24"/>
              </w:rPr>
            </w:pPr>
            <w:r>
              <w:rPr>
                <w:rFonts w:hint="eastAsia" w:ascii="仿宋_GB2312" w:hAnsi="Times New Roman" w:eastAsia="仿宋_GB2312" w:cs="Times New Roman"/>
                <w:sz w:val="24"/>
                <w:szCs w:val="24"/>
              </w:rPr>
              <w:t>万亿</w:t>
            </w:r>
          </w:p>
        </w:tc>
        <w:tc>
          <w:tcPr>
            <w:tcW w:w="915" w:type="dxa"/>
            <w:vAlign w:val="center"/>
          </w:tcPr>
          <w:p w14:paraId="478A0A1A">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266.8</w:t>
            </w:r>
          </w:p>
        </w:tc>
        <w:tc>
          <w:tcPr>
            <w:tcW w:w="900" w:type="dxa"/>
            <w:vAlign w:val="center"/>
          </w:tcPr>
          <w:p w14:paraId="47AA02B0">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3405</w:t>
            </w:r>
          </w:p>
        </w:tc>
        <w:tc>
          <w:tcPr>
            <w:tcW w:w="945" w:type="dxa"/>
            <w:vAlign w:val="center"/>
          </w:tcPr>
          <w:p w14:paraId="61F7A222">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5.0</w:t>
            </w:r>
          </w:p>
        </w:tc>
        <w:tc>
          <w:tcPr>
            <w:tcW w:w="1230" w:type="dxa"/>
            <w:vAlign w:val="center"/>
          </w:tcPr>
          <w:p w14:paraId="35E289DA">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24B4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continue"/>
            <w:vAlign w:val="center"/>
          </w:tcPr>
          <w:p w14:paraId="63EB9C3C">
            <w:pPr>
              <w:jc w:val="center"/>
              <w:rPr>
                <w:rFonts w:ascii="仿宋_GB2312" w:hAnsi="Times New Roman" w:eastAsia="仿宋_GB2312"/>
                <w:sz w:val="24"/>
                <w:szCs w:val="24"/>
              </w:rPr>
            </w:pPr>
          </w:p>
        </w:tc>
        <w:tc>
          <w:tcPr>
            <w:tcW w:w="3033" w:type="dxa"/>
            <w:vAlign w:val="center"/>
          </w:tcPr>
          <w:p w14:paraId="4573E864">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规上工业增加值</w:t>
            </w:r>
          </w:p>
        </w:tc>
        <w:tc>
          <w:tcPr>
            <w:tcW w:w="750" w:type="dxa"/>
            <w:vAlign w:val="center"/>
          </w:tcPr>
          <w:p w14:paraId="6C872FAA">
            <w:pPr>
              <w:jc w:val="center"/>
              <w:rPr>
                <w:rFonts w:ascii="仿宋_GB2312" w:hAnsi="Times New Roman" w:eastAsia="仿宋_GB2312"/>
                <w:sz w:val="24"/>
                <w:szCs w:val="24"/>
              </w:rPr>
            </w:pPr>
            <w:r>
              <w:rPr>
                <w:rFonts w:hint="eastAsia" w:ascii="仿宋_GB2312" w:hAnsi="Times New Roman" w:eastAsia="仿宋_GB2312" w:cs="Times New Roman"/>
                <w:sz w:val="24"/>
                <w:szCs w:val="24"/>
              </w:rPr>
              <w:t>亿元</w:t>
            </w:r>
          </w:p>
        </w:tc>
        <w:tc>
          <w:tcPr>
            <w:tcW w:w="915" w:type="dxa"/>
            <w:vAlign w:val="center"/>
          </w:tcPr>
          <w:p w14:paraId="4A2A6BCC">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607.9</w:t>
            </w:r>
          </w:p>
        </w:tc>
        <w:tc>
          <w:tcPr>
            <w:tcW w:w="900" w:type="dxa"/>
            <w:vAlign w:val="center"/>
          </w:tcPr>
          <w:p w14:paraId="64E682FE">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639</w:t>
            </w:r>
          </w:p>
        </w:tc>
        <w:tc>
          <w:tcPr>
            <w:tcW w:w="945" w:type="dxa"/>
            <w:vAlign w:val="center"/>
          </w:tcPr>
          <w:p w14:paraId="37CD846D">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1.0</w:t>
            </w:r>
          </w:p>
        </w:tc>
        <w:tc>
          <w:tcPr>
            <w:tcW w:w="1230" w:type="dxa"/>
            <w:vAlign w:val="center"/>
          </w:tcPr>
          <w:p w14:paraId="5D80F594">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7657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continue"/>
            <w:vAlign w:val="center"/>
          </w:tcPr>
          <w:p w14:paraId="13B9C26C">
            <w:pPr>
              <w:jc w:val="center"/>
              <w:rPr>
                <w:rFonts w:ascii="仿宋_GB2312" w:hAnsi="Times New Roman" w:eastAsia="仿宋_GB2312"/>
                <w:sz w:val="24"/>
                <w:szCs w:val="24"/>
              </w:rPr>
            </w:pPr>
          </w:p>
        </w:tc>
        <w:tc>
          <w:tcPr>
            <w:tcW w:w="3033" w:type="dxa"/>
            <w:vAlign w:val="center"/>
          </w:tcPr>
          <w:p w14:paraId="102CA319">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先进制造业增加值占规上工业增加值比重</w:t>
            </w:r>
          </w:p>
        </w:tc>
        <w:tc>
          <w:tcPr>
            <w:tcW w:w="750" w:type="dxa"/>
            <w:vAlign w:val="center"/>
          </w:tcPr>
          <w:p w14:paraId="2B1B79E7">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029F6197">
            <w:pPr>
              <w:jc w:val="center"/>
              <w:rPr>
                <w:rFonts w:ascii="仿宋_GB2312" w:hAnsi="Times New Roman" w:eastAsia="仿宋_GB2312"/>
                <w:sz w:val="24"/>
                <w:szCs w:val="24"/>
              </w:rPr>
            </w:pPr>
          </w:p>
        </w:tc>
        <w:tc>
          <w:tcPr>
            <w:tcW w:w="900" w:type="dxa"/>
            <w:vAlign w:val="center"/>
          </w:tcPr>
          <w:p w14:paraId="6575C82B">
            <w:pPr>
              <w:jc w:val="center"/>
              <w:rPr>
                <w:rFonts w:ascii="仿宋_GB2312" w:hAnsi="Times New Roman" w:eastAsia="仿宋_GB2312"/>
                <w:sz w:val="24"/>
                <w:szCs w:val="24"/>
              </w:rPr>
            </w:pPr>
          </w:p>
        </w:tc>
        <w:tc>
          <w:tcPr>
            <w:tcW w:w="945" w:type="dxa"/>
            <w:vAlign w:val="center"/>
          </w:tcPr>
          <w:p w14:paraId="26D9A73B">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07639141">
            <w:pPr>
              <w:jc w:val="center"/>
              <w:rPr>
                <w:rFonts w:ascii="仿宋_GB2312" w:hAnsi="Times New Roman" w:eastAsia="仿宋_GB2312" w:cs="Times New Roman"/>
                <w:sz w:val="24"/>
                <w:szCs w:val="24"/>
              </w:rPr>
            </w:pPr>
            <w:r>
              <w:rPr>
                <w:rFonts w:hint="eastAsia" w:ascii="仿宋_GB2312" w:hAnsi="Times New Roman" w:eastAsia="仿宋_GB2312"/>
                <w:sz w:val="24"/>
                <w:szCs w:val="24"/>
              </w:rPr>
              <w:t>预期性</w:t>
            </w:r>
          </w:p>
        </w:tc>
      </w:tr>
      <w:tr w14:paraId="295D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continue"/>
            <w:vAlign w:val="center"/>
          </w:tcPr>
          <w:p w14:paraId="2E11BEAB">
            <w:pPr>
              <w:jc w:val="center"/>
              <w:rPr>
                <w:rFonts w:ascii="仿宋_GB2312" w:hAnsi="Times New Roman" w:eastAsia="仿宋_GB2312"/>
                <w:sz w:val="24"/>
                <w:szCs w:val="24"/>
              </w:rPr>
            </w:pPr>
          </w:p>
        </w:tc>
        <w:tc>
          <w:tcPr>
            <w:tcW w:w="3033" w:type="dxa"/>
            <w:vAlign w:val="center"/>
          </w:tcPr>
          <w:p w14:paraId="5E3C9BD9">
            <w:pPr>
              <w:jc w:val="center"/>
              <w:rPr>
                <w:rFonts w:ascii="仿宋_GB2312" w:hAnsi="Times New Roman" w:eastAsia="仿宋_GB2312" w:cs="Times New Roman"/>
                <w:color w:val="FF0000"/>
                <w:sz w:val="24"/>
                <w:szCs w:val="24"/>
              </w:rPr>
            </w:pPr>
            <w:r>
              <w:rPr>
                <w:rFonts w:hint="eastAsia" w:ascii="仿宋_GB2312" w:hAnsi="Times New Roman" w:eastAsia="仿宋_GB2312" w:cs="Times New Roman"/>
                <w:color w:val="FF0000"/>
                <w:sz w:val="24"/>
                <w:szCs w:val="24"/>
              </w:rPr>
              <w:t>工业投资5年累计</w:t>
            </w:r>
          </w:p>
        </w:tc>
        <w:tc>
          <w:tcPr>
            <w:tcW w:w="750" w:type="dxa"/>
            <w:vAlign w:val="center"/>
          </w:tcPr>
          <w:p w14:paraId="5512E939">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亿元</w:t>
            </w:r>
          </w:p>
        </w:tc>
        <w:tc>
          <w:tcPr>
            <w:tcW w:w="915" w:type="dxa"/>
            <w:vAlign w:val="center"/>
          </w:tcPr>
          <w:p w14:paraId="1A6374B8">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80.34</w:t>
            </w:r>
          </w:p>
        </w:tc>
        <w:tc>
          <w:tcPr>
            <w:tcW w:w="900" w:type="dxa"/>
            <w:vAlign w:val="center"/>
          </w:tcPr>
          <w:p w14:paraId="62595CE4">
            <w:pPr>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400</w:t>
            </w:r>
          </w:p>
        </w:tc>
        <w:tc>
          <w:tcPr>
            <w:tcW w:w="945" w:type="dxa"/>
            <w:vAlign w:val="center"/>
          </w:tcPr>
          <w:p w14:paraId="22B7D8DA">
            <w:pPr>
              <w:jc w:val="center"/>
              <w:rPr>
                <w:rFonts w:ascii="仿宋_GB2312" w:hAnsi="Times New Roman" w:eastAsia="仿宋_GB2312"/>
                <w:sz w:val="24"/>
                <w:szCs w:val="24"/>
              </w:rPr>
            </w:pPr>
          </w:p>
        </w:tc>
        <w:tc>
          <w:tcPr>
            <w:tcW w:w="1230" w:type="dxa"/>
            <w:vAlign w:val="center"/>
          </w:tcPr>
          <w:p w14:paraId="0150437D">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5EA4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continue"/>
            <w:vAlign w:val="center"/>
          </w:tcPr>
          <w:p w14:paraId="672863EC">
            <w:pPr>
              <w:jc w:val="center"/>
              <w:rPr>
                <w:rFonts w:ascii="仿宋_GB2312" w:hAnsi="Times New Roman" w:eastAsia="仿宋_GB2312"/>
                <w:sz w:val="24"/>
                <w:szCs w:val="24"/>
              </w:rPr>
            </w:pPr>
          </w:p>
        </w:tc>
        <w:tc>
          <w:tcPr>
            <w:tcW w:w="3033" w:type="dxa"/>
            <w:vAlign w:val="center"/>
          </w:tcPr>
          <w:p w14:paraId="2CA000C3">
            <w:pPr>
              <w:jc w:val="center"/>
              <w:rPr>
                <w:rFonts w:ascii="仿宋_GB2312" w:hAnsi="Times New Roman" w:eastAsia="仿宋_GB2312" w:cs="Times New Roman"/>
                <w:color w:val="FF0000"/>
                <w:sz w:val="24"/>
                <w:szCs w:val="24"/>
              </w:rPr>
            </w:pPr>
            <w:r>
              <w:rPr>
                <w:rFonts w:hint="eastAsia" w:ascii="仿宋_GB2312" w:hAnsi="Times New Roman" w:eastAsia="仿宋_GB2312" w:cs="Times New Roman"/>
                <w:color w:val="FF0000"/>
                <w:sz w:val="24"/>
                <w:szCs w:val="24"/>
              </w:rPr>
              <w:t>园区单位土地面积税收产出</w:t>
            </w:r>
          </w:p>
        </w:tc>
        <w:tc>
          <w:tcPr>
            <w:tcW w:w="750" w:type="dxa"/>
            <w:vAlign w:val="center"/>
          </w:tcPr>
          <w:p w14:paraId="6B67018C">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亿元/平方公里</w:t>
            </w:r>
          </w:p>
        </w:tc>
        <w:tc>
          <w:tcPr>
            <w:tcW w:w="915" w:type="dxa"/>
            <w:vAlign w:val="center"/>
          </w:tcPr>
          <w:p w14:paraId="5F091B91">
            <w:pPr>
              <w:jc w:val="center"/>
              <w:rPr>
                <w:rFonts w:ascii="仿宋_GB2312" w:hAnsi="Times New Roman" w:eastAsia="仿宋_GB2312"/>
                <w:sz w:val="24"/>
                <w:szCs w:val="24"/>
              </w:rPr>
            </w:pPr>
          </w:p>
        </w:tc>
        <w:tc>
          <w:tcPr>
            <w:tcW w:w="900" w:type="dxa"/>
            <w:vAlign w:val="center"/>
          </w:tcPr>
          <w:p w14:paraId="28F74963">
            <w:pPr>
              <w:jc w:val="center"/>
              <w:rPr>
                <w:rFonts w:ascii="仿宋_GB2312" w:hAnsi="Times New Roman" w:eastAsia="仿宋_GB2312"/>
                <w:sz w:val="24"/>
                <w:szCs w:val="24"/>
              </w:rPr>
            </w:pPr>
          </w:p>
        </w:tc>
        <w:tc>
          <w:tcPr>
            <w:tcW w:w="945" w:type="dxa"/>
            <w:vAlign w:val="center"/>
          </w:tcPr>
          <w:p w14:paraId="4F465A9A">
            <w:pPr>
              <w:jc w:val="center"/>
              <w:rPr>
                <w:rFonts w:ascii="仿宋_GB2312" w:hAnsi="Times New Roman" w:eastAsia="仿宋_GB2312"/>
                <w:sz w:val="24"/>
                <w:szCs w:val="24"/>
              </w:rPr>
            </w:pPr>
          </w:p>
        </w:tc>
        <w:tc>
          <w:tcPr>
            <w:tcW w:w="1230" w:type="dxa"/>
            <w:vAlign w:val="center"/>
          </w:tcPr>
          <w:p w14:paraId="218B879E">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6A00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continue"/>
            <w:vAlign w:val="center"/>
          </w:tcPr>
          <w:p w14:paraId="4E61798F">
            <w:pPr>
              <w:jc w:val="center"/>
              <w:rPr>
                <w:rFonts w:ascii="仿宋_GB2312" w:hAnsi="Times New Roman" w:eastAsia="仿宋_GB2312"/>
                <w:sz w:val="24"/>
                <w:szCs w:val="24"/>
              </w:rPr>
            </w:pPr>
          </w:p>
        </w:tc>
        <w:tc>
          <w:tcPr>
            <w:tcW w:w="3033" w:type="dxa"/>
            <w:vAlign w:val="center"/>
          </w:tcPr>
          <w:p w14:paraId="4FEB11D5">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工业全员劳动生产率</w:t>
            </w:r>
          </w:p>
        </w:tc>
        <w:tc>
          <w:tcPr>
            <w:tcW w:w="750" w:type="dxa"/>
            <w:vAlign w:val="center"/>
          </w:tcPr>
          <w:p w14:paraId="3A6543BC">
            <w:pPr>
              <w:jc w:val="center"/>
              <w:rPr>
                <w:rFonts w:ascii="仿宋_GB2312" w:hAnsi="Times New Roman" w:eastAsia="仿宋_GB2312"/>
                <w:sz w:val="24"/>
                <w:szCs w:val="24"/>
              </w:rPr>
            </w:pPr>
            <w:r>
              <w:rPr>
                <w:rFonts w:hint="eastAsia" w:ascii="仿宋_GB2312" w:hAnsi="Times New Roman" w:eastAsia="仿宋_GB2312" w:cs="Times New Roman"/>
                <w:sz w:val="24"/>
                <w:szCs w:val="24"/>
              </w:rPr>
              <w:t>万元/人</w:t>
            </w:r>
          </w:p>
        </w:tc>
        <w:tc>
          <w:tcPr>
            <w:tcW w:w="915" w:type="dxa"/>
            <w:vAlign w:val="center"/>
          </w:tcPr>
          <w:p w14:paraId="76476925">
            <w:pPr>
              <w:jc w:val="center"/>
              <w:rPr>
                <w:rFonts w:ascii="仿宋_GB2312" w:hAnsi="Times New Roman" w:eastAsia="仿宋_GB2312"/>
                <w:sz w:val="24"/>
                <w:szCs w:val="24"/>
              </w:rPr>
            </w:pPr>
          </w:p>
        </w:tc>
        <w:tc>
          <w:tcPr>
            <w:tcW w:w="900" w:type="dxa"/>
            <w:vAlign w:val="center"/>
          </w:tcPr>
          <w:p w14:paraId="46B78D28">
            <w:pPr>
              <w:jc w:val="center"/>
              <w:rPr>
                <w:rFonts w:ascii="仿宋_GB2312" w:hAnsi="Times New Roman" w:eastAsia="仿宋_GB2312"/>
                <w:sz w:val="24"/>
                <w:szCs w:val="24"/>
              </w:rPr>
            </w:pPr>
          </w:p>
        </w:tc>
        <w:tc>
          <w:tcPr>
            <w:tcW w:w="945" w:type="dxa"/>
            <w:vAlign w:val="center"/>
          </w:tcPr>
          <w:p w14:paraId="05C9F15C">
            <w:pPr>
              <w:jc w:val="center"/>
              <w:rPr>
                <w:rFonts w:ascii="仿宋_GB2312" w:hAnsi="Times New Roman" w:eastAsia="仿宋_GB2312"/>
                <w:sz w:val="24"/>
                <w:szCs w:val="24"/>
              </w:rPr>
            </w:pPr>
          </w:p>
        </w:tc>
        <w:tc>
          <w:tcPr>
            <w:tcW w:w="1230" w:type="dxa"/>
            <w:vAlign w:val="center"/>
          </w:tcPr>
          <w:p w14:paraId="6914ECF6">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5319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restart"/>
            <w:vAlign w:val="center"/>
          </w:tcPr>
          <w:p w14:paraId="479BA2FB">
            <w:pPr>
              <w:jc w:val="center"/>
              <w:rPr>
                <w:rFonts w:ascii="仿宋_GB2312" w:hAnsi="Times New Roman" w:eastAsia="仿宋_GB2312"/>
                <w:sz w:val="24"/>
                <w:szCs w:val="24"/>
              </w:rPr>
            </w:pPr>
          </w:p>
          <w:p w14:paraId="04ED348C">
            <w:pPr>
              <w:jc w:val="center"/>
              <w:rPr>
                <w:rFonts w:ascii="仿宋_GB2312" w:hAnsi="Times New Roman" w:eastAsia="仿宋_GB2312"/>
                <w:sz w:val="24"/>
                <w:szCs w:val="24"/>
              </w:rPr>
            </w:pPr>
          </w:p>
          <w:p w14:paraId="68492062">
            <w:pPr>
              <w:jc w:val="center"/>
              <w:rPr>
                <w:rFonts w:ascii="仿宋_GB2312" w:hAnsi="Times New Roman" w:eastAsia="仿宋_GB2312"/>
                <w:sz w:val="24"/>
                <w:szCs w:val="24"/>
              </w:rPr>
            </w:pPr>
            <w:r>
              <w:rPr>
                <w:rFonts w:hint="eastAsia" w:ascii="仿宋_GB2312" w:hAnsi="Times New Roman" w:eastAsia="仿宋_GB2312" w:cs="Times New Roman"/>
                <w:sz w:val="24"/>
                <w:szCs w:val="24"/>
              </w:rPr>
              <w:t>结构优化</w:t>
            </w:r>
          </w:p>
        </w:tc>
        <w:tc>
          <w:tcPr>
            <w:tcW w:w="3033" w:type="dxa"/>
            <w:vAlign w:val="center"/>
          </w:tcPr>
          <w:p w14:paraId="6F12BB75">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工业增加值占GDP比重</w:t>
            </w:r>
          </w:p>
        </w:tc>
        <w:tc>
          <w:tcPr>
            <w:tcW w:w="750" w:type="dxa"/>
            <w:vAlign w:val="center"/>
          </w:tcPr>
          <w:p w14:paraId="4D43BC91">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0516EFBE">
            <w:pPr>
              <w:jc w:val="center"/>
              <w:rPr>
                <w:rFonts w:ascii="仿宋_GB2312" w:hAnsi="Times New Roman" w:eastAsia="仿宋_GB2312"/>
                <w:sz w:val="24"/>
                <w:szCs w:val="24"/>
              </w:rPr>
            </w:pPr>
          </w:p>
        </w:tc>
        <w:tc>
          <w:tcPr>
            <w:tcW w:w="900" w:type="dxa"/>
            <w:vAlign w:val="center"/>
          </w:tcPr>
          <w:p w14:paraId="5E475A89">
            <w:pPr>
              <w:jc w:val="center"/>
              <w:rPr>
                <w:rFonts w:ascii="仿宋_GB2312" w:hAnsi="Times New Roman" w:eastAsia="仿宋_GB2312"/>
                <w:sz w:val="24"/>
                <w:szCs w:val="24"/>
              </w:rPr>
            </w:pPr>
          </w:p>
        </w:tc>
        <w:tc>
          <w:tcPr>
            <w:tcW w:w="945" w:type="dxa"/>
            <w:vAlign w:val="center"/>
          </w:tcPr>
          <w:p w14:paraId="2031FF4C">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19237364">
            <w:pPr>
              <w:jc w:val="center"/>
              <w:rPr>
                <w:rFonts w:ascii="仿宋_GB2312" w:hAnsi="Times New Roman" w:eastAsia="仿宋_GB2312" w:cs="Times New Roman"/>
                <w:sz w:val="24"/>
                <w:szCs w:val="24"/>
              </w:rPr>
            </w:pPr>
            <w:r>
              <w:rPr>
                <w:rFonts w:hint="eastAsia" w:ascii="仿宋_GB2312" w:hAnsi="Times New Roman" w:eastAsia="仿宋_GB2312"/>
                <w:sz w:val="24"/>
                <w:szCs w:val="24"/>
              </w:rPr>
              <w:t>预期性</w:t>
            </w:r>
          </w:p>
        </w:tc>
      </w:tr>
      <w:tr w14:paraId="5661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continue"/>
            <w:vAlign w:val="center"/>
          </w:tcPr>
          <w:p w14:paraId="4E21D6EE">
            <w:pPr>
              <w:jc w:val="center"/>
              <w:rPr>
                <w:rFonts w:ascii="仿宋_GB2312" w:hAnsi="Times New Roman" w:eastAsia="仿宋_GB2312"/>
                <w:sz w:val="24"/>
                <w:szCs w:val="24"/>
              </w:rPr>
            </w:pPr>
          </w:p>
        </w:tc>
        <w:tc>
          <w:tcPr>
            <w:tcW w:w="3033" w:type="dxa"/>
            <w:vAlign w:val="center"/>
          </w:tcPr>
          <w:p w14:paraId="01E0F517">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先进制造业增加值占规模以上工业增加值</w:t>
            </w:r>
          </w:p>
        </w:tc>
        <w:tc>
          <w:tcPr>
            <w:tcW w:w="750" w:type="dxa"/>
            <w:vAlign w:val="center"/>
          </w:tcPr>
          <w:p w14:paraId="77504FEC">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234B6DB0">
            <w:pPr>
              <w:jc w:val="center"/>
              <w:rPr>
                <w:rFonts w:ascii="仿宋_GB2312" w:hAnsi="Times New Roman" w:eastAsia="仿宋_GB2312"/>
                <w:sz w:val="24"/>
                <w:szCs w:val="24"/>
              </w:rPr>
            </w:pPr>
          </w:p>
        </w:tc>
        <w:tc>
          <w:tcPr>
            <w:tcW w:w="900" w:type="dxa"/>
            <w:vAlign w:val="center"/>
          </w:tcPr>
          <w:p w14:paraId="63839CB9">
            <w:pPr>
              <w:jc w:val="center"/>
              <w:rPr>
                <w:rFonts w:ascii="仿宋_GB2312" w:hAnsi="Times New Roman" w:eastAsia="仿宋_GB2312"/>
                <w:sz w:val="24"/>
                <w:szCs w:val="24"/>
              </w:rPr>
            </w:pPr>
          </w:p>
        </w:tc>
        <w:tc>
          <w:tcPr>
            <w:tcW w:w="945" w:type="dxa"/>
            <w:vAlign w:val="center"/>
          </w:tcPr>
          <w:p w14:paraId="2597094B">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7E741047">
            <w:pPr>
              <w:jc w:val="center"/>
              <w:rPr>
                <w:rFonts w:ascii="仿宋_GB2312" w:hAnsi="Times New Roman" w:eastAsia="仿宋_GB2312" w:cs="Times New Roman"/>
                <w:sz w:val="24"/>
                <w:szCs w:val="24"/>
              </w:rPr>
            </w:pPr>
            <w:r>
              <w:rPr>
                <w:rFonts w:hint="eastAsia" w:ascii="仿宋_GB2312" w:hAnsi="Times New Roman" w:eastAsia="仿宋_GB2312"/>
                <w:sz w:val="24"/>
                <w:szCs w:val="24"/>
              </w:rPr>
              <w:t>预期性</w:t>
            </w:r>
          </w:p>
        </w:tc>
      </w:tr>
      <w:tr w14:paraId="7C69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53" w:type="dxa"/>
            <w:vMerge w:val="continue"/>
            <w:vAlign w:val="center"/>
          </w:tcPr>
          <w:p w14:paraId="461546BD">
            <w:pPr>
              <w:jc w:val="center"/>
              <w:rPr>
                <w:rFonts w:ascii="仿宋_GB2312" w:hAnsi="Times New Roman" w:eastAsia="仿宋_GB2312"/>
                <w:sz w:val="24"/>
                <w:szCs w:val="24"/>
              </w:rPr>
            </w:pPr>
          </w:p>
        </w:tc>
        <w:tc>
          <w:tcPr>
            <w:tcW w:w="3033" w:type="dxa"/>
            <w:vAlign w:val="center"/>
          </w:tcPr>
          <w:p w14:paraId="76CF8F15">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战略性新兴产业增加值占规上工业增加值的比重</w:t>
            </w:r>
          </w:p>
        </w:tc>
        <w:tc>
          <w:tcPr>
            <w:tcW w:w="750" w:type="dxa"/>
            <w:vAlign w:val="center"/>
          </w:tcPr>
          <w:p w14:paraId="2A780989">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p w14:paraId="29C4C6AB">
            <w:pPr>
              <w:jc w:val="center"/>
              <w:rPr>
                <w:rFonts w:ascii="仿宋_GB2312" w:hAnsi="Times New Roman" w:eastAsia="仿宋_GB2312"/>
                <w:sz w:val="24"/>
                <w:szCs w:val="24"/>
              </w:rPr>
            </w:pPr>
          </w:p>
        </w:tc>
        <w:tc>
          <w:tcPr>
            <w:tcW w:w="915" w:type="dxa"/>
            <w:vAlign w:val="center"/>
          </w:tcPr>
          <w:p w14:paraId="4731B175">
            <w:pPr>
              <w:jc w:val="center"/>
              <w:rPr>
                <w:rFonts w:ascii="仿宋_GB2312" w:hAnsi="Times New Roman" w:eastAsia="仿宋_GB2312"/>
                <w:sz w:val="24"/>
                <w:szCs w:val="24"/>
              </w:rPr>
            </w:pPr>
          </w:p>
        </w:tc>
        <w:tc>
          <w:tcPr>
            <w:tcW w:w="900" w:type="dxa"/>
            <w:vAlign w:val="center"/>
          </w:tcPr>
          <w:p w14:paraId="4B1D108E">
            <w:pPr>
              <w:jc w:val="center"/>
              <w:rPr>
                <w:rFonts w:ascii="仿宋_GB2312" w:hAnsi="Times New Roman" w:eastAsia="仿宋_GB2312"/>
                <w:sz w:val="24"/>
                <w:szCs w:val="24"/>
              </w:rPr>
            </w:pPr>
          </w:p>
        </w:tc>
        <w:tc>
          <w:tcPr>
            <w:tcW w:w="945" w:type="dxa"/>
            <w:vAlign w:val="center"/>
          </w:tcPr>
          <w:p w14:paraId="76481241">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397D5F93">
            <w:pPr>
              <w:jc w:val="center"/>
              <w:rPr>
                <w:rFonts w:ascii="仿宋_GB2312" w:hAnsi="Times New Roman" w:eastAsia="仿宋_GB2312" w:cs="Times New Roman"/>
                <w:sz w:val="24"/>
                <w:szCs w:val="24"/>
              </w:rPr>
            </w:pPr>
            <w:r>
              <w:rPr>
                <w:rFonts w:hint="eastAsia" w:ascii="仿宋_GB2312" w:hAnsi="Times New Roman" w:eastAsia="仿宋_GB2312"/>
                <w:sz w:val="24"/>
                <w:szCs w:val="24"/>
              </w:rPr>
              <w:t>预期性</w:t>
            </w:r>
          </w:p>
        </w:tc>
      </w:tr>
      <w:tr w14:paraId="70C4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53" w:type="dxa"/>
            <w:vMerge w:val="continue"/>
            <w:vAlign w:val="center"/>
          </w:tcPr>
          <w:p w14:paraId="08276E65">
            <w:pPr>
              <w:jc w:val="center"/>
              <w:rPr>
                <w:rFonts w:ascii="仿宋_GB2312" w:hAnsi="Times New Roman" w:eastAsia="仿宋_GB2312"/>
                <w:sz w:val="24"/>
                <w:szCs w:val="24"/>
              </w:rPr>
            </w:pPr>
          </w:p>
        </w:tc>
        <w:tc>
          <w:tcPr>
            <w:tcW w:w="3033" w:type="dxa"/>
            <w:vAlign w:val="center"/>
          </w:tcPr>
          <w:p w14:paraId="0EB76B5C">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高新技术产品产值占工业总产值比重</w:t>
            </w:r>
          </w:p>
        </w:tc>
        <w:tc>
          <w:tcPr>
            <w:tcW w:w="750" w:type="dxa"/>
            <w:vAlign w:val="center"/>
          </w:tcPr>
          <w:p w14:paraId="3452ADA8">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13EE4619">
            <w:pPr>
              <w:jc w:val="center"/>
              <w:rPr>
                <w:rFonts w:ascii="仿宋_GB2312" w:hAnsi="Times New Roman" w:eastAsia="仿宋_GB2312"/>
                <w:sz w:val="24"/>
                <w:szCs w:val="24"/>
              </w:rPr>
            </w:pPr>
          </w:p>
        </w:tc>
        <w:tc>
          <w:tcPr>
            <w:tcW w:w="900" w:type="dxa"/>
            <w:vAlign w:val="center"/>
          </w:tcPr>
          <w:p w14:paraId="10DB86AB">
            <w:pPr>
              <w:jc w:val="center"/>
              <w:rPr>
                <w:rFonts w:ascii="仿宋_GB2312" w:hAnsi="Times New Roman" w:eastAsia="仿宋_GB2312"/>
                <w:sz w:val="24"/>
                <w:szCs w:val="24"/>
              </w:rPr>
            </w:pPr>
          </w:p>
        </w:tc>
        <w:tc>
          <w:tcPr>
            <w:tcW w:w="945" w:type="dxa"/>
            <w:vAlign w:val="center"/>
          </w:tcPr>
          <w:p w14:paraId="3D81B2FA">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09EC3791">
            <w:pPr>
              <w:jc w:val="center"/>
              <w:rPr>
                <w:rFonts w:ascii="仿宋_GB2312" w:hAnsi="Times New Roman" w:eastAsia="仿宋_GB2312" w:cs="Times New Roman"/>
                <w:sz w:val="24"/>
                <w:szCs w:val="24"/>
              </w:rPr>
            </w:pPr>
            <w:r>
              <w:rPr>
                <w:rFonts w:hint="eastAsia" w:ascii="仿宋_GB2312" w:hAnsi="Times New Roman" w:eastAsia="仿宋_GB2312"/>
                <w:sz w:val="24"/>
                <w:szCs w:val="24"/>
              </w:rPr>
              <w:t>预期性</w:t>
            </w:r>
          </w:p>
        </w:tc>
      </w:tr>
      <w:tr w14:paraId="0017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3" w:type="dxa"/>
            <w:vMerge w:val="restart"/>
            <w:vAlign w:val="center"/>
          </w:tcPr>
          <w:p w14:paraId="47C1DF49">
            <w:pPr>
              <w:jc w:val="center"/>
              <w:rPr>
                <w:rFonts w:ascii="仿宋_GB2312" w:hAnsi="Times New Roman" w:eastAsia="仿宋_GB2312"/>
                <w:sz w:val="24"/>
                <w:szCs w:val="24"/>
              </w:rPr>
            </w:pPr>
          </w:p>
          <w:p w14:paraId="7DA98484">
            <w:pPr>
              <w:jc w:val="center"/>
              <w:rPr>
                <w:rFonts w:ascii="仿宋_GB2312" w:hAnsi="Times New Roman" w:eastAsia="仿宋_GB2312"/>
                <w:sz w:val="24"/>
                <w:szCs w:val="24"/>
              </w:rPr>
            </w:pPr>
            <w:r>
              <w:rPr>
                <w:rFonts w:hint="eastAsia" w:ascii="仿宋_GB2312" w:hAnsi="Times New Roman" w:eastAsia="仿宋_GB2312" w:cs="Times New Roman"/>
                <w:sz w:val="24"/>
                <w:szCs w:val="24"/>
              </w:rPr>
              <w:t>创新驱动</w:t>
            </w:r>
          </w:p>
        </w:tc>
        <w:tc>
          <w:tcPr>
            <w:tcW w:w="3033" w:type="dxa"/>
            <w:vAlign w:val="center"/>
          </w:tcPr>
          <w:p w14:paraId="33FC2017">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全社会研究与试验发展经费占GDP比重</w:t>
            </w:r>
          </w:p>
        </w:tc>
        <w:tc>
          <w:tcPr>
            <w:tcW w:w="750" w:type="dxa"/>
            <w:vAlign w:val="center"/>
          </w:tcPr>
          <w:p w14:paraId="676F31B7">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71EAB786">
            <w:pPr>
              <w:jc w:val="center"/>
              <w:rPr>
                <w:rFonts w:ascii="仿宋_GB2312" w:hAnsi="Times New Roman" w:eastAsia="仿宋_GB2312"/>
                <w:sz w:val="24"/>
                <w:szCs w:val="24"/>
              </w:rPr>
            </w:pPr>
          </w:p>
        </w:tc>
        <w:tc>
          <w:tcPr>
            <w:tcW w:w="900" w:type="dxa"/>
            <w:vAlign w:val="center"/>
          </w:tcPr>
          <w:p w14:paraId="6ECD5A1C">
            <w:pPr>
              <w:jc w:val="center"/>
              <w:rPr>
                <w:rFonts w:ascii="仿宋_GB2312" w:hAnsi="Times New Roman" w:eastAsia="仿宋_GB2312"/>
                <w:sz w:val="24"/>
                <w:szCs w:val="24"/>
              </w:rPr>
            </w:pPr>
          </w:p>
        </w:tc>
        <w:tc>
          <w:tcPr>
            <w:tcW w:w="945" w:type="dxa"/>
            <w:vAlign w:val="center"/>
          </w:tcPr>
          <w:p w14:paraId="49842A33">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775D2894">
            <w:pPr>
              <w:jc w:val="center"/>
              <w:rPr>
                <w:rFonts w:ascii="仿宋_GB2312" w:hAnsi="Times New Roman" w:eastAsia="仿宋_GB2312" w:cs="Times New Roman"/>
                <w:sz w:val="24"/>
                <w:szCs w:val="24"/>
              </w:rPr>
            </w:pPr>
            <w:r>
              <w:rPr>
                <w:rFonts w:hint="eastAsia" w:ascii="仿宋_GB2312" w:hAnsi="Times New Roman" w:eastAsia="仿宋_GB2312"/>
                <w:sz w:val="24"/>
                <w:szCs w:val="24"/>
              </w:rPr>
              <w:t>预期性</w:t>
            </w:r>
          </w:p>
        </w:tc>
      </w:tr>
      <w:tr w14:paraId="2510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53" w:type="dxa"/>
            <w:vMerge w:val="continue"/>
            <w:vAlign w:val="center"/>
          </w:tcPr>
          <w:p w14:paraId="60A7EFD4">
            <w:pPr>
              <w:jc w:val="center"/>
              <w:rPr>
                <w:rFonts w:ascii="仿宋_GB2312" w:hAnsi="Times New Roman" w:eastAsia="仿宋_GB2312"/>
                <w:sz w:val="24"/>
                <w:szCs w:val="24"/>
              </w:rPr>
            </w:pPr>
          </w:p>
        </w:tc>
        <w:tc>
          <w:tcPr>
            <w:tcW w:w="3033" w:type="dxa"/>
            <w:vAlign w:val="center"/>
          </w:tcPr>
          <w:p w14:paraId="06CC73E7">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制造业高新技术企业数量</w:t>
            </w:r>
          </w:p>
        </w:tc>
        <w:tc>
          <w:tcPr>
            <w:tcW w:w="750" w:type="dxa"/>
            <w:vAlign w:val="center"/>
          </w:tcPr>
          <w:p w14:paraId="53F6A1F2">
            <w:pPr>
              <w:jc w:val="center"/>
              <w:rPr>
                <w:rFonts w:ascii="仿宋_GB2312" w:hAnsi="Times New Roman" w:eastAsia="仿宋_GB2312"/>
                <w:sz w:val="24"/>
                <w:szCs w:val="24"/>
              </w:rPr>
            </w:pPr>
            <w:r>
              <w:rPr>
                <w:rFonts w:hint="eastAsia" w:ascii="仿宋_GB2312" w:hAnsi="Times New Roman" w:eastAsia="仿宋_GB2312" w:cs="Times New Roman"/>
                <w:sz w:val="24"/>
                <w:szCs w:val="24"/>
              </w:rPr>
              <w:t>家</w:t>
            </w:r>
          </w:p>
        </w:tc>
        <w:tc>
          <w:tcPr>
            <w:tcW w:w="915" w:type="dxa"/>
            <w:vAlign w:val="center"/>
          </w:tcPr>
          <w:p w14:paraId="6FA61918">
            <w:pPr>
              <w:jc w:val="center"/>
              <w:rPr>
                <w:rFonts w:ascii="仿宋_GB2312" w:hAnsi="Times New Roman" w:eastAsia="仿宋_GB2312"/>
                <w:sz w:val="24"/>
                <w:szCs w:val="24"/>
              </w:rPr>
            </w:pPr>
          </w:p>
        </w:tc>
        <w:tc>
          <w:tcPr>
            <w:tcW w:w="900" w:type="dxa"/>
            <w:vAlign w:val="center"/>
          </w:tcPr>
          <w:p w14:paraId="3C59D1CE">
            <w:pPr>
              <w:jc w:val="center"/>
              <w:rPr>
                <w:rFonts w:ascii="仿宋_GB2312" w:hAnsi="Times New Roman" w:eastAsia="仿宋_GB2312"/>
                <w:sz w:val="24"/>
                <w:szCs w:val="24"/>
              </w:rPr>
            </w:pPr>
          </w:p>
        </w:tc>
        <w:tc>
          <w:tcPr>
            <w:tcW w:w="945" w:type="dxa"/>
            <w:vAlign w:val="center"/>
          </w:tcPr>
          <w:p w14:paraId="0ECCDB53">
            <w:pPr>
              <w:jc w:val="center"/>
              <w:rPr>
                <w:rFonts w:ascii="仿宋_GB2312" w:hAnsi="Times New Roman" w:eastAsia="仿宋_GB2312"/>
                <w:sz w:val="24"/>
                <w:szCs w:val="24"/>
              </w:rPr>
            </w:pPr>
          </w:p>
        </w:tc>
        <w:tc>
          <w:tcPr>
            <w:tcW w:w="1230" w:type="dxa"/>
            <w:vAlign w:val="center"/>
          </w:tcPr>
          <w:p w14:paraId="06DE3902">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3ED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3" w:type="dxa"/>
            <w:vMerge w:val="continue"/>
            <w:vAlign w:val="center"/>
          </w:tcPr>
          <w:p w14:paraId="0BDA57EF">
            <w:pPr>
              <w:jc w:val="center"/>
              <w:rPr>
                <w:rFonts w:ascii="仿宋_GB2312" w:hAnsi="Times New Roman" w:eastAsia="仿宋_GB2312"/>
                <w:sz w:val="24"/>
                <w:szCs w:val="24"/>
              </w:rPr>
            </w:pPr>
          </w:p>
        </w:tc>
        <w:tc>
          <w:tcPr>
            <w:tcW w:w="3033" w:type="dxa"/>
            <w:vAlign w:val="center"/>
          </w:tcPr>
          <w:p w14:paraId="591D6372">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市级以上企业技术创新中心</w:t>
            </w:r>
          </w:p>
        </w:tc>
        <w:tc>
          <w:tcPr>
            <w:tcW w:w="750" w:type="dxa"/>
            <w:vAlign w:val="center"/>
          </w:tcPr>
          <w:p w14:paraId="74C365F8">
            <w:pPr>
              <w:jc w:val="center"/>
              <w:rPr>
                <w:rFonts w:ascii="仿宋_GB2312" w:hAnsi="Times New Roman" w:eastAsia="仿宋_GB2312"/>
                <w:sz w:val="24"/>
                <w:szCs w:val="24"/>
              </w:rPr>
            </w:pPr>
            <w:r>
              <w:rPr>
                <w:rFonts w:hint="eastAsia" w:ascii="仿宋_GB2312" w:hAnsi="Times New Roman" w:eastAsia="仿宋_GB2312" w:cs="Times New Roman"/>
                <w:sz w:val="24"/>
                <w:szCs w:val="24"/>
              </w:rPr>
              <w:t>家</w:t>
            </w:r>
          </w:p>
        </w:tc>
        <w:tc>
          <w:tcPr>
            <w:tcW w:w="915" w:type="dxa"/>
            <w:vAlign w:val="center"/>
          </w:tcPr>
          <w:p w14:paraId="18612007">
            <w:pPr>
              <w:jc w:val="center"/>
              <w:rPr>
                <w:rFonts w:ascii="仿宋_GB2312" w:hAnsi="Times New Roman" w:eastAsia="仿宋_GB2312"/>
                <w:sz w:val="24"/>
                <w:szCs w:val="24"/>
              </w:rPr>
            </w:pPr>
          </w:p>
        </w:tc>
        <w:tc>
          <w:tcPr>
            <w:tcW w:w="900" w:type="dxa"/>
            <w:vAlign w:val="center"/>
          </w:tcPr>
          <w:p w14:paraId="60098535">
            <w:pPr>
              <w:jc w:val="center"/>
              <w:rPr>
                <w:rFonts w:ascii="仿宋_GB2312" w:hAnsi="Times New Roman" w:eastAsia="仿宋_GB2312"/>
                <w:sz w:val="24"/>
                <w:szCs w:val="24"/>
              </w:rPr>
            </w:pPr>
          </w:p>
        </w:tc>
        <w:tc>
          <w:tcPr>
            <w:tcW w:w="945" w:type="dxa"/>
            <w:vAlign w:val="center"/>
          </w:tcPr>
          <w:p w14:paraId="13D28323">
            <w:pPr>
              <w:jc w:val="center"/>
              <w:rPr>
                <w:rFonts w:ascii="仿宋_GB2312" w:hAnsi="Times New Roman" w:eastAsia="仿宋_GB2312"/>
                <w:sz w:val="24"/>
                <w:szCs w:val="24"/>
              </w:rPr>
            </w:pPr>
          </w:p>
        </w:tc>
        <w:tc>
          <w:tcPr>
            <w:tcW w:w="1230" w:type="dxa"/>
            <w:vAlign w:val="center"/>
          </w:tcPr>
          <w:p w14:paraId="332E1868">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7067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3" w:type="dxa"/>
            <w:vMerge w:val="continue"/>
            <w:vAlign w:val="center"/>
          </w:tcPr>
          <w:p w14:paraId="2AB7E2F7">
            <w:pPr>
              <w:jc w:val="center"/>
              <w:rPr>
                <w:rFonts w:ascii="仿宋_GB2312" w:hAnsi="Times New Roman" w:eastAsia="仿宋_GB2312"/>
                <w:sz w:val="24"/>
                <w:szCs w:val="24"/>
              </w:rPr>
            </w:pPr>
          </w:p>
        </w:tc>
        <w:tc>
          <w:tcPr>
            <w:tcW w:w="3033" w:type="dxa"/>
            <w:vAlign w:val="center"/>
          </w:tcPr>
          <w:p w14:paraId="0393EAA6">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技术合同交易额</w:t>
            </w:r>
          </w:p>
        </w:tc>
        <w:tc>
          <w:tcPr>
            <w:tcW w:w="750" w:type="dxa"/>
            <w:vAlign w:val="center"/>
          </w:tcPr>
          <w:p w14:paraId="4D903700">
            <w:pPr>
              <w:jc w:val="center"/>
              <w:rPr>
                <w:rFonts w:ascii="仿宋_GB2312" w:hAnsi="Times New Roman" w:eastAsia="仿宋_GB2312"/>
                <w:sz w:val="24"/>
                <w:szCs w:val="24"/>
              </w:rPr>
            </w:pPr>
            <w:r>
              <w:rPr>
                <w:rFonts w:hint="eastAsia" w:ascii="仿宋_GB2312" w:hAnsi="Times New Roman" w:eastAsia="仿宋_GB2312" w:cs="Times New Roman"/>
                <w:sz w:val="24"/>
                <w:szCs w:val="24"/>
              </w:rPr>
              <w:t>亿元</w:t>
            </w:r>
          </w:p>
        </w:tc>
        <w:tc>
          <w:tcPr>
            <w:tcW w:w="915" w:type="dxa"/>
            <w:vAlign w:val="center"/>
          </w:tcPr>
          <w:p w14:paraId="7A2CBA3E">
            <w:pPr>
              <w:jc w:val="center"/>
              <w:rPr>
                <w:rFonts w:ascii="仿宋_GB2312" w:hAnsi="Times New Roman" w:eastAsia="仿宋_GB2312"/>
                <w:sz w:val="24"/>
                <w:szCs w:val="24"/>
              </w:rPr>
            </w:pPr>
          </w:p>
        </w:tc>
        <w:tc>
          <w:tcPr>
            <w:tcW w:w="900" w:type="dxa"/>
            <w:vAlign w:val="center"/>
          </w:tcPr>
          <w:p w14:paraId="167972D9">
            <w:pPr>
              <w:jc w:val="center"/>
              <w:rPr>
                <w:rFonts w:ascii="仿宋_GB2312" w:hAnsi="Times New Roman" w:eastAsia="仿宋_GB2312"/>
                <w:sz w:val="24"/>
                <w:szCs w:val="24"/>
              </w:rPr>
            </w:pPr>
          </w:p>
        </w:tc>
        <w:tc>
          <w:tcPr>
            <w:tcW w:w="945" w:type="dxa"/>
            <w:vAlign w:val="center"/>
          </w:tcPr>
          <w:p w14:paraId="2635C147">
            <w:pPr>
              <w:jc w:val="center"/>
              <w:rPr>
                <w:rFonts w:ascii="仿宋_GB2312" w:hAnsi="Times New Roman" w:eastAsia="仿宋_GB2312"/>
                <w:sz w:val="24"/>
                <w:szCs w:val="24"/>
              </w:rPr>
            </w:pPr>
          </w:p>
        </w:tc>
        <w:tc>
          <w:tcPr>
            <w:tcW w:w="1230" w:type="dxa"/>
            <w:vAlign w:val="center"/>
          </w:tcPr>
          <w:p w14:paraId="35895759">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7C55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continue"/>
            <w:vAlign w:val="center"/>
          </w:tcPr>
          <w:p w14:paraId="0C0C6C05">
            <w:pPr>
              <w:jc w:val="center"/>
              <w:rPr>
                <w:rFonts w:ascii="仿宋_GB2312" w:hAnsi="Times New Roman" w:eastAsia="仿宋_GB2312"/>
                <w:sz w:val="24"/>
                <w:szCs w:val="24"/>
              </w:rPr>
            </w:pPr>
          </w:p>
        </w:tc>
        <w:tc>
          <w:tcPr>
            <w:tcW w:w="3033" w:type="dxa"/>
            <w:vAlign w:val="center"/>
          </w:tcPr>
          <w:p w14:paraId="011CD0EA">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规上工业企业设立研发机构的覆盖率</w:t>
            </w:r>
          </w:p>
        </w:tc>
        <w:tc>
          <w:tcPr>
            <w:tcW w:w="750" w:type="dxa"/>
            <w:vAlign w:val="center"/>
          </w:tcPr>
          <w:p w14:paraId="65D6605E">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7E873345">
            <w:pPr>
              <w:jc w:val="center"/>
              <w:rPr>
                <w:rFonts w:ascii="仿宋_GB2312" w:hAnsi="Times New Roman" w:eastAsia="仿宋_GB2312"/>
                <w:sz w:val="24"/>
                <w:szCs w:val="24"/>
              </w:rPr>
            </w:pPr>
          </w:p>
        </w:tc>
        <w:tc>
          <w:tcPr>
            <w:tcW w:w="900" w:type="dxa"/>
            <w:vAlign w:val="center"/>
          </w:tcPr>
          <w:p w14:paraId="57315EB7">
            <w:pPr>
              <w:jc w:val="center"/>
              <w:rPr>
                <w:rFonts w:ascii="仿宋_GB2312" w:hAnsi="Times New Roman" w:eastAsia="仿宋_GB2312"/>
                <w:sz w:val="24"/>
                <w:szCs w:val="24"/>
              </w:rPr>
            </w:pPr>
          </w:p>
        </w:tc>
        <w:tc>
          <w:tcPr>
            <w:tcW w:w="945" w:type="dxa"/>
            <w:vAlign w:val="center"/>
          </w:tcPr>
          <w:p w14:paraId="74A0ADFE">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14F8D122">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预期性</w:t>
            </w:r>
          </w:p>
        </w:tc>
      </w:tr>
      <w:tr w14:paraId="4714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3" w:type="dxa"/>
            <w:vMerge w:val="restart"/>
            <w:vAlign w:val="center"/>
          </w:tcPr>
          <w:p w14:paraId="7B024F1A">
            <w:pPr>
              <w:jc w:val="center"/>
              <w:rPr>
                <w:rFonts w:ascii="仿宋_GB2312" w:hAnsi="Times New Roman" w:eastAsia="仿宋_GB2312"/>
                <w:sz w:val="24"/>
                <w:szCs w:val="24"/>
              </w:rPr>
            </w:pPr>
            <w:r>
              <w:rPr>
                <w:rFonts w:hint="eastAsia" w:ascii="仿宋_GB2312" w:hAnsi="Times New Roman" w:eastAsia="仿宋_GB2312" w:cs="Times New Roman"/>
                <w:sz w:val="24"/>
                <w:szCs w:val="24"/>
              </w:rPr>
              <w:t>融合</w:t>
            </w:r>
          </w:p>
          <w:p w14:paraId="1D709331">
            <w:pPr>
              <w:jc w:val="center"/>
              <w:rPr>
                <w:rFonts w:ascii="仿宋_GB2312" w:hAnsi="Times New Roman" w:eastAsia="仿宋_GB2312"/>
                <w:sz w:val="24"/>
                <w:szCs w:val="24"/>
              </w:rPr>
            </w:pPr>
            <w:r>
              <w:rPr>
                <w:rFonts w:hint="eastAsia" w:ascii="仿宋_GB2312" w:hAnsi="Times New Roman" w:eastAsia="仿宋_GB2312" w:cs="Times New Roman"/>
                <w:sz w:val="24"/>
                <w:szCs w:val="24"/>
              </w:rPr>
              <w:t>发展</w:t>
            </w:r>
          </w:p>
        </w:tc>
        <w:tc>
          <w:tcPr>
            <w:tcW w:w="3033" w:type="dxa"/>
            <w:vAlign w:val="center"/>
          </w:tcPr>
          <w:p w14:paraId="268353E8">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两化融合发展水平</w:t>
            </w:r>
          </w:p>
        </w:tc>
        <w:tc>
          <w:tcPr>
            <w:tcW w:w="750" w:type="dxa"/>
            <w:vAlign w:val="center"/>
          </w:tcPr>
          <w:p w14:paraId="7A94D645">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68230F90">
            <w:pPr>
              <w:jc w:val="center"/>
              <w:rPr>
                <w:rFonts w:ascii="仿宋_GB2312" w:hAnsi="Times New Roman" w:eastAsia="仿宋_GB2312"/>
                <w:sz w:val="24"/>
                <w:szCs w:val="24"/>
              </w:rPr>
            </w:pPr>
          </w:p>
        </w:tc>
        <w:tc>
          <w:tcPr>
            <w:tcW w:w="900" w:type="dxa"/>
            <w:vAlign w:val="center"/>
          </w:tcPr>
          <w:p w14:paraId="6BCC027B">
            <w:pPr>
              <w:jc w:val="center"/>
              <w:rPr>
                <w:rFonts w:ascii="仿宋_GB2312" w:hAnsi="Times New Roman" w:eastAsia="仿宋_GB2312"/>
                <w:sz w:val="24"/>
                <w:szCs w:val="24"/>
              </w:rPr>
            </w:pPr>
          </w:p>
        </w:tc>
        <w:tc>
          <w:tcPr>
            <w:tcW w:w="945" w:type="dxa"/>
            <w:vAlign w:val="center"/>
          </w:tcPr>
          <w:p w14:paraId="044A0356">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4EFD47EC">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预期性</w:t>
            </w:r>
          </w:p>
        </w:tc>
      </w:tr>
      <w:tr w14:paraId="33F8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3" w:type="dxa"/>
            <w:vMerge w:val="continue"/>
            <w:vAlign w:val="center"/>
          </w:tcPr>
          <w:p w14:paraId="2833FE9E">
            <w:pPr>
              <w:jc w:val="center"/>
              <w:rPr>
                <w:rFonts w:ascii="仿宋_GB2312" w:hAnsi="Times New Roman" w:eastAsia="仿宋_GB2312"/>
                <w:sz w:val="24"/>
                <w:szCs w:val="24"/>
              </w:rPr>
            </w:pPr>
          </w:p>
        </w:tc>
        <w:tc>
          <w:tcPr>
            <w:tcW w:w="3033" w:type="dxa"/>
            <w:vAlign w:val="center"/>
          </w:tcPr>
          <w:p w14:paraId="678336D9">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数字化研发设计工具普及率</w:t>
            </w:r>
          </w:p>
        </w:tc>
        <w:tc>
          <w:tcPr>
            <w:tcW w:w="750" w:type="dxa"/>
            <w:vAlign w:val="center"/>
          </w:tcPr>
          <w:p w14:paraId="679DD98C">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7AEE494C">
            <w:pPr>
              <w:jc w:val="center"/>
              <w:rPr>
                <w:rFonts w:ascii="仿宋_GB2312" w:hAnsi="Times New Roman" w:eastAsia="仿宋_GB2312"/>
                <w:sz w:val="24"/>
                <w:szCs w:val="24"/>
              </w:rPr>
            </w:pPr>
          </w:p>
        </w:tc>
        <w:tc>
          <w:tcPr>
            <w:tcW w:w="900" w:type="dxa"/>
            <w:vAlign w:val="center"/>
          </w:tcPr>
          <w:p w14:paraId="70777BAA">
            <w:pPr>
              <w:jc w:val="center"/>
              <w:rPr>
                <w:rFonts w:ascii="仿宋_GB2312" w:hAnsi="Times New Roman" w:eastAsia="仿宋_GB2312"/>
                <w:sz w:val="24"/>
                <w:szCs w:val="24"/>
              </w:rPr>
            </w:pPr>
          </w:p>
        </w:tc>
        <w:tc>
          <w:tcPr>
            <w:tcW w:w="945" w:type="dxa"/>
            <w:vAlign w:val="center"/>
          </w:tcPr>
          <w:p w14:paraId="0411DB95">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4B882228">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预期性</w:t>
            </w:r>
          </w:p>
        </w:tc>
      </w:tr>
      <w:tr w14:paraId="70A6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3" w:type="dxa"/>
            <w:vMerge w:val="continue"/>
            <w:vAlign w:val="center"/>
          </w:tcPr>
          <w:p w14:paraId="40C11C12">
            <w:pPr>
              <w:jc w:val="center"/>
              <w:rPr>
                <w:rFonts w:ascii="仿宋_GB2312" w:hAnsi="Times New Roman" w:eastAsia="仿宋_GB2312"/>
                <w:sz w:val="24"/>
                <w:szCs w:val="24"/>
              </w:rPr>
            </w:pPr>
          </w:p>
        </w:tc>
        <w:tc>
          <w:tcPr>
            <w:tcW w:w="3033" w:type="dxa"/>
            <w:vAlign w:val="center"/>
          </w:tcPr>
          <w:p w14:paraId="29B309FB">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重点行业关键工序数控率</w:t>
            </w:r>
          </w:p>
        </w:tc>
        <w:tc>
          <w:tcPr>
            <w:tcW w:w="750" w:type="dxa"/>
            <w:vAlign w:val="center"/>
          </w:tcPr>
          <w:p w14:paraId="218B9936">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2A2E6966">
            <w:pPr>
              <w:jc w:val="center"/>
              <w:rPr>
                <w:rFonts w:ascii="仿宋_GB2312" w:hAnsi="Times New Roman" w:eastAsia="仿宋_GB2312"/>
                <w:sz w:val="24"/>
                <w:szCs w:val="24"/>
              </w:rPr>
            </w:pPr>
          </w:p>
        </w:tc>
        <w:tc>
          <w:tcPr>
            <w:tcW w:w="900" w:type="dxa"/>
            <w:vAlign w:val="center"/>
          </w:tcPr>
          <w:p w14:paraId="62F8726F">
            <w:pPr>
              <w:jc w:val="center"/>
              <w:rPr>
                <w:rFonts w:ascii="仿宋_GB2312" w:hAnsi="Times New Roman" w:eastAsia="仿宋_GB2312"/>
                <w:sz w:val="24"/>
                <w:szCs w:val="24"/>
              </w:rPr>
            </w:pPr>
          </w:p>
        </w:tc>
        <w:tc>
          <w:tcPr>
            <w:tcW w:w="945" w:type="dxa"/>
            <w:vAlign w:val="center"/>
          </w:tcPr>
          <w:p w14:paraId="6960C313">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1230" w:type="dxa"/>
            <w:vAlign w:val="center"/>
          </w:tcPr>
          <w:p w14:paraId="689013A5">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预期性</w:t>
            </w:r>
          </w:p>
        </w:tc>
      </w:tr>
      <w:tr w14:paraId="6840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3" w:type="dxa"/>
            <w:vMerge w:val="continue"/>
            <w:vAlign w:val="center"/>
          </w:tcPr>
          <w:p w14:paraId="5E2C95E5">
            <w:pPr>
              <w:jc w:val="center"/>
              <w:rPr>
                <w:rFonts w:ascii="仿宋_GB2312" w:hAnsi="Times New Roman" w:eastAsia="仿宋_GB2312"/>
                <w:sz w:val="24"/>
                <w:szCs w:val="24"/>
              </w:rPr>
            </w:pPr>
          </w:p>
        </w:tc>
        <w:tc>
          <w:tcPr>
            <w:tcW w:w="3033" w:type="dxa"/>
            <w:vAlign w:val="center"/>
          </w:tcPr>
          <w:p w14:paraId="7699A82E">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两化融合贯标企业数量</w:t>
            </w:r>
          </w:p>
        </w:tc>
        <w:tc>
          <w:tcPr>
            <w:tcW w:w="750" w:type="dxa"/>
            <w:vAlign w:val="center"/>
          </w:tcPr>
          <w:p w14:paraId="72AF7F4D">
            <w:pPr>
              <w:jc w:val="center"/>
              <w:rPr>
                <w:rFonts w:ascii="仿宋_GB2312" w:hAnsi="Times New Roman" w:eastAsia="仿宋_GB2312"/>
                <w:sz w:val="24"/>
                <w:szCs w:val="24"/>
              </w:rPr>
            </w:pPr>
            <w:r>
              <w:rPr>
                <w:rFonts w:hint="eastAsia" w:ascii="仿宋_GB2312" w:hAnsi="Times New Roman" w:eastAsia="仿宋_GB2312" w:cs="Times New Roman"/>
                <w:sz w:val="24"/>
                <w:szCs w:val="24"/>
              </w:rPr>
              <w:t>家</w:t>
            </w:r>
          </w:p>
        </w:tc>
        <w:tc>
          <w:tcPr>
            <w:tcW w:w="915" w:type="dxa"/>
            <w:vAlign w:val="center"/>
          </w:tcPr>
          <w:p w14:paraId="74A80516">
            <w:pPr>
              <w:jc w:val="center"/>
              <w:rPr>
                <w:rFonts w:ascii="仿宋_GB2312" w:hAnsi="Times New Roman" w:eastAsia="仿宋_GB2312"/>
                <w:sz w:val="24"/>
                <w:szCs w:val="24"/>
              </w:rPr>
            </w:pPr>
          </w:p>
        </w:tc>
        <w:tc>
          <w:tcPr>
            <w:tcW w:w="900" w:type="dxa"/>
            <w:vAlign w:val="center"/>
          </w:tcPr>
          <w:p w14:paraId="32F73C59">
            <w:pPr>
              <w:jc w:val="center"/>
              <w:rPr>
                <w:rFonts w:ascii="仿宋_GB2312" w:hAnsi="Times New Roman" w:eastAsia="仿宋_GB2312"/>
                <w:sz w:val="24"/>
                <w:szCs w:val="24"/>
              </w:rPr>
            </w:pPr>
          </w:p>
        </w:tc>
        <w:tc>
          <w:tcPr>
            <w:tcW w:w="945" w:type="dxa"/>
            <w:vAlign w:val="center"/>
          </w:tcPr>
          <w:p w14:paraId="491FD2AB">
            <w:pPr>
              <w:jc w:val="center"/>
              <w:rPr>
                <w:rFonts w:ascii="仿宋_GB2312" w:hAnsi="Times New Roman" w:eastAsia="仿宋_GB2312"/>
                <w:sz w:val="24"/>
                <w:szCs w:val="24"/>
              </w:rPr>
            </w:pPr>
          </w:p>
        </w:tc>
        <w:tc>
          <w:tcPr>
            <w:tcW w:w="1230" w:type="dxa"/>
            <w:vAlign w:val="center"/>
          </w:tcPr>
          <w:p w14:paraId="1C0D0C2A">
            <w:pPr>
              <w:jc w:val="center"/>
              <w:rPr>
                <w:rFonts w:ascii="仿宋_GB2312" w:hAnsi="Times New Roman" w:eastAsia="仿宋_GB2312"/>
                <w:sz w:val="24"/>
                <w:szCs w:val="24"/>
              </w:rPr>
            </w:pPr>
            <w:r>
              <w:rPr>
                <w:rFonts w:hint="eastAsia" w:ascii="仿宋_GB2312" w:hAnsi="Times New Roman" w:eastAsia="仿宋_GB2312"/>
                <w:sz w:val="24"/>
                <w:szCs w:val="24"/>
              </w:rPr>
              <w:t>预期性</w:t>
            </w:r>
          </w:p>
        </w:tc>
      </w:tr>
      <w:tr w14:paraId="4ECB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53" w:type="dxa"/>
            <w:vMerge w:val="restart"/>
            <w:vAlign w:val="center"/>
          </w:tcPr>
          <w:p w14:paraId="4AC93AB3">
            <w:pPr>
              <w:jc w:val="center"/>
              <w:rPr>
                <w:rFonts w:ascii="仿宋_GB2312" w:hAnsi="Times New Roman" w:eastAsia="仿宋_GB2312"/>
                <w:sz w:val="24"/>
                <w:szCs w:val="24"/>
              </w:rPr>
            </w:pPr>
          </w:p>
          <w:p w14:paraId="25DD69E9">
            <w:pPr>
              <w:jc w:val="center"/>
              <w:rPr>
                <w:rFonts w:ascii="仿宋_GB2312" w:hAnsi="Times New Roman" w:eastAsia="仿宋_GB2312"/>
                <w:sz w:val="24"/>
                <w:szCs w:val="24"/>
              </w:rPr>
            </w:pPr>
            <w:r>
              <w:rPr>
                <w:rFonts w:hint="eastAsia" w:ascii="仿宋_GB2312" w:hAnsi="Times New Roman" w:eastAsia="仿宋_GB2312" w:cs="Times New Roman"/>
                <w:sz w:val="24"/>
                <w:szCs w:val="24"/>
              </w:rPr>
              <w:t>绿色发展</w:t>
            </w:r>
          </w:p>
        </w:tc>
        <w:tc>
          <w:tcPr>
            <w:tcW w:w="3033" w:type="dxa"/>
            <w:vAlign w:val="center"/>
          </w:tcPr>
          <w:p w14:paraId="6390F214">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单位工业增加值能耗下降幅度</w:t>
            </w:r>
          </w:p>
        </w:tc>
        <w:tc>
          <w:tcPr>
            <w:tcW w:w="750" w:type="dxa"/>
            <w:vAlign w:val="center"/>
          </w:tcPr>
          <w:p w14:paraId="5555890D">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72F39229">
            <w:pPr>
              <w:jc w:val="center"/>
              <w:rPr>
                <w:rFonts w:ascii="仿宋_GB2312" w:hAnsi="Times New Roman" w:eastAsia="仿宋_GB2312"/>
                <w:sz w:val="24"/>
                <w:szCs w:val="24"/>
              </w:rPr>
            </w:pPr>
          </w:p>
        </w:tc>
        <w:tc>
          <w:tcPr>
            <w:tcW w:w="900" w:type="dxa"/>
            <w:vAlign w:val="center"/>
          </w:tcPr>
          <w:p w14:paraId="33FA28A4">
            <w:pPr>
              <w:jc w:val="center"/>
              <w:rPr>
                <w:rFonts w:ascii="仿宋_GB2312" w:hAnsi="Times New Roman" w:eastAsia="仿宋_GB2312"/>
                <w:sz w:val="24"/>
                <w:szCs w:val="24"/>
              </w:rPr>
            </w:pPr>
          </w:p>
        </w:tc>
        <w:tc>
          <w:tcPr>
            <w:tcW w:w="945" w:type="dxa"/>
            <w:vAlign w:val="center"/>
          </w:tcPr>
          <w:p w14:paraId="22FCEF23">
            <w:pPr>
              <w:jc w:val="center"/>
              <w:rPr>
                <w:rFonts w:ascii="仿宋_GB2312" w:hAnsi="Times New Roman" w:eastAsia="仿宋_GB2312"/>
                <w:sz w:val="24"/>
                <w:szCs w:val="24"/>
              </w:rPr>
            </w:pPr>
          </w:p>
        </w:tc>
        <w:tc>
          <w:tcPr>
            <w:tcW w:w="1230" w:type="dxa"/>
            <w:vAlign w:val="center"/>
          </w:tcPr>
          <w:p w14:paraId="5448015A">
            <w:pPr>
              <w:jc w:val="center"/>
              <w:rPr>
                <w:rFonts w:ascii="仿宋_GB2312" w:hAnsi="Times New Roman" w:eastAsia="仿宋_GB2312"/>
                <w:sz w:val="24"/>
                <w:szCs w:val="24"/>
              </w:rPr>
            </w:pPr>
            <w:r>
              <w:rPr>
                <w:rFonts w:hint="eastAsia" w:ascii="仿宋_GB2312" w:hAnsi="Times New Roman" w:eastAsia="仿宋_GB2312"/>
                <w:sz w:val="24"/>
                <w:szCs w:val="24"/>
              </w:rPr>
              <w:t>约束性</w:t>
            </w:r>
          </w:p>
        </w:tc>
      </w:tr>
      <w:tr w14:paraId="53FD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3" w:type="dxa"/>
            <w:vMerge w:val="continue"/>
            <w:vAlign w:val="center"/>
          </w:tcPr>
          <w:p w14:paraId="304ED738">
            <w:pPr>
              <w:jc w:val="center"/>
              <w:rPr>
                <w:rFonts w:ascii="仿宋_GB2312" w:hAnsi="Times New Roman" w:eastAsia="仿宋_GB2312" w:cs="Times New Roman"/>
                <w:sz w:val="24"/>
                <w:szCs w:val="24"/>
              </w:rPr>
            </w:pPr>
          </w:p>
        </w:tc>
        <w:tc>
          <w:tcPr>
            <w:tcW w:w="3033" w:type="dxa"/>
            <w:vAlign w:val="center"/>
          </w:tcPr>
          <w:p w14:paraId="212D7D58">
            <w:pPr>
              <w:jc w:val="center"/>
              <w:rPr>
                <w:rFonts w:ascii="仿宋_GB2312" w:hAnsi="Times New Roman" w:eastAsia="仿宋_GB2312" w:cs="Times New Roman"/>
                <w:color w:val="FF0000"/>
                <w:sz w:val="24"/>
                <w:szCs w:val="24"/>
              </w:rPr>
            </w:pPr>
            <w:r>
              <w:rPr>
                <w:rFonts w:hint="eastAsia" w:ascii="仿宋_GB2312" w:hAnsi="Times New Roman" w:eastAsia="仿宋_GB2312" w:cs="Times New Roman"/>
                <w:color w:val="FF0000"/>
                <w:sz w:val="24"/>
                <w:szCs w:val="24"/>
              </w:rPr>
              <w:t>单位工业增加值用水量下降幅度</w:t>
            </w:r>
          </w:p>
        </w:tc>
        <w:tc>
          <w:tcPr>
            <w:tcW w:w="750" w:type="dxa"/>
            <w:vAlign w:val="center"/>
          </w:tcPr>
          <w:p w14:paraId="3ABF3812">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915" w:type="dxa"/>
            <w:vAlign w:val="center"/>
          </w:tcPr>
          <w:p w14:paraId="534C8530">
            <w:pPr>
              <w:jc w:val="center"/>
              <w:rPr>
                <w:rFonts w:ascii="仿宋_GB2312" w:hAnsi="Times New Roman" w:eastAsia="仿宋_GB2312"/>
                <w:sz w:val="24"/>
                <w:szCs w:val="24"/>
              </w:rPr>
            </w:pPr>
          </w:p>
        </w:tc>
        <w:tc>
          <w:tcPr>
            <w:tcW w:w="900" w:type="dxa"/>
            <w:vAlign w:val="center"/>
          </w:tcPr>
          <w:p w14:paraId="4963BBAD">
            <w:pPr>
              <w:jc w:val="center"/>
              <w:rPr>
                <w:rFonts w:ascii="仿宋_GB2312" w:hAnsi="Times New Roman" w:eastAsia="仿宋_GB2312"/>
                <w:sz w:val="24"/>
                <w:szCs w:val="24"/>
              </w:rPr>
            </w:pPr>
          </w:p>
        </w:tc>
        <w:tc>
          <w:tcPr>
            <w:tcW w:w="945" w:type="dxa"/>
            <w:vAlign w:val="center"/>
          </w:tcPr>
          <w:p w14:paraId="7FE30C55">
            <w:pPr>
              <w:jc w:val="center"/>
              <w:rPr>
                <w:rFonts w:ascii="仿宋_GB2312" w:hAnsi="Times New Roman" w:eastAsia="仿宋_GB2312"/>
                <w:sz w:val="24"/>
                <w:szCs w:val="24"/>
              </w:rPr>
            </w:pPr>
          </w:p>
        </w:tc>
        <w:tc>
          <w:tcPr>
            <w:tcW w:w="1230" w:type="dxa"/>
            <w:vAlign w:val="center"/>
          </w:tcPr>
          <w:p w14:paraId="79AAF161">
            <w:pPr>
              <w:jc w:val="center"/>
              <w:rPr>
                <w:rFonts w:ascii="仿宋_GB2312" w:hAnsi="Times New Roman" w:eastAsia="仿宋_GB2312"/>
                <w:sz w:val="24"/>
                <w:szCs w:val="24"/>
              </w:rPr>
            </w:pPr>
            <w:r>
              <w:rPr>
                <w:rFonts w:hint="eastAsia" w:ascii="仿宋_GB2312" w:hAnsi="Times New Roman" w:eastAsia="仿宋_GB2312"/>
                <w:sz w:val="24"/>
                <w:szCs w:val="24"/>
              </w:rPr>
              <w:t>约束性</w:t>
            </w:r>
          </w:p>
        </w:tc>
      </w:tr>
      <w:tr w14:paraId="4426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53" w:type="dxa"/>
            <w:vMerge w:val="continue"/>
            <w:vAlign w:val="center"/>
          </w:tcPr>
          <w:p w14:paraId="42392844">
            <w:pPr>
              <w:jc w:val="center"/>
              <w:rPr>
                <w:rFonts w:ascii="仿宋_GB2312" w:hAnsi="Times New Roman" w:eastAsia="仿宋_GB2312"/>
                <w:sz w:val="24"/>
                <w:szCs w:val="24"/>
              </w:rPr>
            </w:pPr>
          </w:p>
        </w:tc>
        <w:tc>
          <w:tcPr>
            <w:tcW w:w="3033" w:type="dxa"/>
            <w:vAlign w:val="center"/>
          </w:tcPr>
          <w:p w14:paraId="4C854729">
            <w:pPr>
              <w:jc w:val="center"/>
              <w:rPr>
                <w:rFonts w:ascii="仿宋_GB2312" w:hAnsi="Times New Roman" w:eastAsia="仿宋_GB2312"/>
                <w:color w:val="FF0000"/>
                <w:sz w:val="24"/>
                <w:szCs w:val="24"/>
              </w:rPr>
            </w:pPr>
            <w:r>
              <w:rPr>
                <w:rFonts w:hint="eastAsia" w:ascii="仿宋_GB2312" w:hAnsi="Times New Roman" w:eastAsia="仿宋_GB2312" w:cs="Times New Roman"/>
                <w:color w:val="FF0000"/>
                <w:sz w:val="24"/>
                <w:szCs w:val="24"/>
              </w:rPr>
              <w:t>单位工业增加值二氧化碳排放量下降幅度</w:t>
            </w:r>
          </w:p>
        </w:tc>
        <w:tc>
          <w:tcPr>
            <w:tcW w:w="750" w:type="dxa"/>
            <w:vAlign w:val="center"/>
          </w:tcPr>
          <w:p w14:paraId="233B5331">
            <w:pPr>
              <w:jc w:val="center"/>
              <w:rPr>
                <w:rFonts w:ascii="仿宋_GB2312" w:hAnsi="Times New Roman" w:eastAsia="仿宋_GB2312"/>
                <w:sz w:val="24"/>
                <w:szCs w:val="24"/>
              </w:rPr>
            </w:pPr>
            <w:r>
              <w:rPr>
                <w:rFonts w:hint="eastAsia" w:ascii="仿宋_GB2312" w:hAnsi="Times New Roman" w:eastAsia="仿宋_GB2312" w:cs="Times New Roman"/>
                <w:sz w:val="24"/>
                <w:szCs w:val="24"/>
              </w:rPr>
              <w:t>%</w:t>
            </w:r>
          </w:p>
        </w:tc>
        <w:tc>
          <w:tcPr>
            <w:tcW w:w="915" w:type="dxa"/>
            <w:vAlign w:val="center"/>
          </w:tcPr>
          <w:p w14:paraId="7F7A1EC9">
            <w:pPr>
              <w:jc w:val="center"/>
              <w:rPr>
                <w:rFonts w:ascii="仿宋_GB2312" w:hAnsi="Times New Roman" w:eastAsia="仿宋_GB2312"/>
                <w:sz w:val="24"/>
                <w:szCs w:val="24"/>
              </w:rPr>
            </w:pPr>
          </w:p>
        </w:tc>
        <w:tc>
          <w:tcPr>
            <w:tcW w:w="900" w:type="dxa"/>
            <w:vAlign w:val="center"/>
          </w:tcPr>
          <w:p w14:paraId="146978A2">
            <w:pPr>
              <w:jc w:val="center"/>
              <w:rPr>
                <w:rFonts w:ascii="仿宋_GB2312" w:hAnsi="Times New Roman" w:eastAsia="仿宋_GB2312"/>
                <w:sz w:val="24"/>
                <w:szCs w:val="24"/>
              </w:rPr>
            </w:pPr>
          </w:p>
        </w:tc>
        <w:tc>
          <w:tcPr>
            <w:tcW w:w="945" w:type="dxa"/>
            <w:vAlign w:val="center"/>
          </w:tcPr>
          <w:p w14:paraId="479BDD0B">
            <w:pPr>
              <w:jc w:val="center"/>
              <w:rPr>
                <w:rFonts w:ascii="仿宋_GB2312" w:hAnsi="Times New Roman" w:eastAsia="仿宋_GB2312"/>
                <w:sz w:val="24"/>
                <w:szCs w:val="24"/>
              </w:rPr>
            </w:pPr>
          </w:p>
        </w:tc>
        <w:tc>
          <w:tcPr>
            <w:tcW w:w="1230" w:type="dxa"/>
            <w:vAlign w:val="center"/>
          </w:tcPr>
          <w:p w14:paraId="7312316A">
            <w:pPr>
              <w:jc w:val="center"/>
              <w:rPr>
                <w:rFonts w:ascii="仿宋_GB2312" w:hAnsi="Times New Roman" w:eastAsia="仿宋_GB2312"/>
                <w:sz w:val="24"/>
                <w:szCs w:val="24"/>
              </w:rPr>
            </w:pPr>
            <w:r>
              <w:rPr>
                <w:rFonts w:hint="eastAsia" w:ascii="仿宋_GB2312" w:hAnsi="Times New Roman" w:eastAsia="仿宋_GB2312"/>
                <w:sz w:val="24"/>
                <w:szCs w:val="24"/>
              </w:rPr>
              <w:t>约束性</w:t>
            </w:r>
          </w:p>
        </w:tc>
      </w:tr>
    </w:tbl>
    <w:p w14:paraId="2CBE33FB">
      <w:pPr>
        <w:rPr>
          <w:sz w:val="32"/>
          <w:szCs w:val="32"/>
        </w:rPr>
      </w:pPr>
    </w:p>
    <w:p w14:paraId="4F8271A1">
      <w:pPr>
        <w:pStyle w:val="3"/>
        <w:spacing w:before="0" w:after="0" w:line="560" w:lineRule="exact"/>
        <w:rPr>
          <w:rFonts w:ascii="黑体" w:hAnsi="黑体" w:eastAsia="黑体"/>
          <w:b w:val="0"/>
          <w:sz w:val="32"/>
          <w:szCs w:val="32"/>
        </w:rPr>
      </w:pPr>
      <w:bookmarkStart w:id="37" w:name="_Toc76826110"/>
      <w:r>
        <w:rPr>
          <w:rFonts w:hint="eastAsia" w:ascii="黑体" w:hAnsi="黑体" w:eastAsia="黑体"/>
          <w:b w:val="0"/>
          <w:sz w:val="32"/>
          <w:szCs w:val="32"/>
        </w:rPr>
        <w:t>四、构建先进制造新体系</w:t>
      </w:r>
      <w:bookmarkEnd w:id="37"/>
    </w:p>
    <w:p w14:paraId="3310E25E">
      <w:pPr>
        <w:pStyle w:val="2"/>
        <w:spacing w:before="0" w:after="0" w:line="560" w:lineRule="exact"/>
        <w:ind w:firstLine="643" w:firstLineChars="200"/>
        <w:rPr>
          <w:rFonts w:ascii="楷体_GB2312" w:hAnsi="仿宋" w:eastAsia="楷体_GB2312"/>
        </w:rPr>
      </w:pPr>
      <w:bookmarkStart w:id="38" w:name="_Toc76826111"/>
      <w:r>
        <w:rPr>
          <w:rFonts w:hint="eastAsia" w:ascii="楷体_GB2312" w:hAnsi="仿宋" w:eastAsia="楷体_GB2312"/>
        </w:rPr>
        <w:t>（一）做强战略</w:t>
      </w:r>
      <w:r>
        <w:rPr>
          <w:rFonts w:ascii="楷体_GB2312" w:hAnsi="仿宋" w:eastAsia="楷体_GB2312"/>
        </w:rPr>
        <w:t>性支柱</w:t>
      </w:r>
      <w:r>
        <w:rPr>
          <w:rFonts w:hint="eastAsia" w:ascii="楷体_GB2312" w:hAnsi="仿宋" w:eastAsia="楷体_GB2312"/>
        </w:rPr>
        <w:t>产业</w:t>
      </w:r>
      <w:bookmarkEnd w:id="38"/>
    </w:p>
    <w:p w14:paraId="67628EB9">
      <w:pPr>
        <w:pStyle w:val="4"/>
        <w:spacing w:before="0" w:after="0" w:line="560" w:lineRule="exact"/>
        <w:ind w:firstLine="643" w:firstLineChars="200"/>
        <w:rPr>
          <w:rFonts w:ascii="仿宋_GB2312" w:hAnsi="Times New Roman" w:eastAsia="仿宋_GB2312"/>
          <w:bCs w:val="0"/>
        </w:rPr>
      </w:pPr>
      <w:bookmarkStart w:id="39" w:name="_Toc76826112"/>
      <w:r>
        <w:rPr>
          <w:rFonts w:hint="eastAsia" w:ascii="仿宋_GB2312" w:hAnsi="Times New Roman" w:eastAsia="仿宋_GB2312"/>
          <w:bCs w:val="0"/>
        </w:rPr>
        <w:t>1.汽车制造</w:t>
      </w:r>
      <w:bookmarkEnd w:id="39"/>
    </w:p>
    <w:p w14:paraId="372D7F1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对标国家级开发区，优化提升广州花都高新技术产业开发区</w:t>
      </w:r>
      <w:r>
        <w:rPr>
          <w:rFonts w:ascii="仿宋_GB2312" w:hAnsi="Times New Roman" w:eastAsia="仿宋_GB2312"/>
          <w:sz w:val="32"/>
          <w:szCs w:val="32"/>
        </w:rPr>
        <w:t>（</w:t>
      </w:r>
      <w:r>
        <w:rPr>
          <w:rFonts w:hint="eastAsia" w:ascii="仿宋_GB2312" w:hAnsi="Times New Roman" w:eastAsia="仿宋_GB2312"/>
          <w:sz w:val="32"/>
          <w:szCs w:val="32"/>
        </w:rPr>
        <w:t>原汽车产业基地）等重点园区，积极推进将花都高新技术产业开发区申报国家级经济技术开发区。支持东风日产、东风启辰、大运汽车等龙头企业围绕薄弱环节建链强链补链延链，鼓励做大做强，支持传统燃油整车及关键零部件企业开展技术升级和智能化改造，加快新车型的研发和引进，实现增资扩产，提高产品一致性和技术水平。大力支持和培育民营零部件中小企业发展，引导高端汽车零部件项目落户，提升产业集群发展质量。重点谋划发展新能源汽车、汽车电子、智能网联汽车、燃料电池汽车、无人驾驶汽车、共享汽车。积极打造汽车绿色产</w:t>
      </w:r>
      <w:r>
        <w:rPr>
          <w:rFonts w:ascii="仿宋_GB2312" w:hAnsi="Times New Roman" w:eastAsia="仿宋_GB2312"/>
          <w:sz w:val="32"/>
          <w:szCs w:val="32"/>
        </w:rPr>
        <w:t>业链</w:t>
      </w:r>
      <w:r>
        <w:rPr>
          <w:rFonts w:hint="eastAsia" w:ascii="仿宋_GB2312" w:hAnsi="Times New Roman" w:eastAsia="仿宋_GB2312"/>
          <w:sz w:val="32"/>
          <w:szCs w:val="32"/>
        </w:rPr>
        <w:t>供应链，推动龙头企业实施绿色供应链管理战略，建立绿色采购、绿色生产和绿色回收体系，带动上下游企业实现绿色发展。建立完善废旧汽车拆解及汽车动力电池回收利用、废旧电池回收处置和固废处理体系，支持企业进入汽车绿色回收和梯次利用、废旧电池物联芯片研发制造、动力电池融资租赁等领域，打造全国乃至全球知名的汽车产业循环经济示范区。</w:t>
      </w:r>
    </w:p>
    <w:p w14:paraId="1951AB32">
      <w:pPr>
        <w:pStyle w:val="4"/>
        <w:spacing w:before="0" w:after="0" w:line="560" w:lineRule="exact"/>
        <w:ind w:firstLine="643" w:firstLineChars="200"/>
        <w:rPr>
          <w:rFonts w:ascii="仿宋_GB2312" w:hAnsi="Times New Roman" w:eastAsia="仿宋_GB2312"/>
          <w:bCs w:val="0"/>
        </w:rPr>
      </w:pPr>
      <w:bookmarkStart w:id="40" w:name="_Toc76826113"/>
      <w:r>
        <w:rPr>
          <w:rFonts w:hint="eastAsia" w:ascii="仿宋_GB2312" w:hAnsi="Times New Roman" w:eastAsia="仿宋_GB2312"/>
          <w:bCs w:val="0"/>
        </w:rPr>
        <w:t>2</w:t>
      </w:r>
      <w:r>
        <w:rPr>
          <w:rFonts w:ascii="仿宋_GB2312" w:hAnsi="Times New Roman" w:eastAsia="仿宋_GB2312"/>
          <w:bCs w:val="0"/>
        </w:rPr>
        <w:t>.</w:t>
      </w:r>
      <w:r>
        <w:rPr>
          <w:rFonts w:hint="eastAsia" w:ascii="仿宋_GB2312" w:hAnsi="Times New Roman" w:eastAsia="仿宋_GB2312"/>
          <w:bCs w:val="0"/>
        </w:rPr>
        <w:t>航空制造</w:t>
      </w:r>
      <w:bookmarkEnd w:id="40"/>
    </w:p>
    <w:p w14:paraId="7A1098F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依托GAMECO、新科宇航等现有龙头企业，加快引进上下游关联产业，积极发展航材生产、机载设备制造、航空电子、飞机零部件制造和维修等，积极培育机场设备、空管设备、机场调光设备、地面测试设备和飞机参数控制采集系统等航空制造业，积极推进本地企业参与飞机座椅、壁板、地毯等飞机内饰的设计研发和制造，大力引进集聚航空总部、飞机租赁、大型电商企业，建设全球飞机维修和客改货基地；依托广州民航职业技术学院，加强引进和培育飞行、维修、航务、管理和生产制造等航空专业技术人才培养，建设模拟飞行训练基地。</w:t>
      </w:r>
    </w:p>
    <w:p w14:paraId="4C828FF5">
      <w:pPr>
        <w:pStyle w:val="4"/>
        <w:spacing w:before="0" w:after="0" w:line="560" w:lineRule="exact"/>
        <w:ind w:firstLine="643" w:firstLineChars="200"/>
        <w:rPr>
          <w:rFonts w:ascii="仿宋_GB2312" w:hAnsi="Times New Roman" w:eastAsia="仿宋_GB2312"/>
          <w:bCs w:val="0"/>
        </w:rPr>
      </w:pPr>
      <w:bookmarkStart w:id="41" w:name="_Toc76826114"/>
      <w:r>
        <w:rPr>
          <w:rFonts w:ascii="仿宋_GB2312" w:hAnsi="Times New Roman" w:eastAsia="仿宋_GB2312"/>
          <w:bCs w:val="0"/>
        </w:rPr>
        <w:t>3.</w:t>
      </w:r>
      <w:r>
        <w:rPr>
          <w:rFonts w:hint="eastAsia" w:ascii="仿宋_GB2312" w:hAnsi="Times New Roman" w:eastAsia="仿宋_GB2312"/>
          <w:bCs w:val="0"/>
        </w:rPr>
        <w:t>轨道交通</w:t>
      </w:r>
      <w:bookmarkEnd w:id="41"/>
    </w:p>
    <w:p w14:paraId="4BB3E1C9">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依托广州和谐大功率机车修造基地，积极引进机车配件生产制造、机车电子、信息科技、新材料等上下游产业；支持广州电力机车有限公司开展矿山运输机械设备的研发以及规模化生产。积极引进中国中车机车研发机构以及其他配套企业落户本地，研发制造新一代绿色智能、重载电力机车、新能源电池及装备等，探索推进列车牵引系统、制动系统等关键系统和零部件，跨座式单轨、自动导轨快捷运输系统等新型城市轨道交通装备研发及产业化，做大轨道交通产业规模。</w:t>
      </w:r>
    </w:p>
    <w:p w14:paraId="4A1751BD">
      <w:pPr>
        <w:pStyle w:val="4"/>
        <w:spacing w:before="0" w:after="0" w:line="560" w:lineRule="exact"/>
        <w:ind w:firstLine="643" w:firstLineChars="200"/>
        <w:rPr>
          <w:rFonts w:ascii="仿宋_GB2312" w:hAnsi="Times New Roman" w:eastAsia="仿宋_GB2312"/>
          <w:bCs w:val="0"/>
        </w:rPr>
      </w:pPr>
      <w:bookmarkStart w:id="42" w:name="_Toc76826115"/>
      <w:r>
        <w:rPr>
          <w:rFonts w:ascii="仿宋_GB2312" w:hAnsi="Times New Roman" w:eastAsia="仿宋_GB2312"/>
          <w:bCs w:val="0"/>
        </w:rPr>
        <w:t>4.</w:t>
      </w:r>
      <w:r>
        <w:rPr>
          <w:rFonts w:hint="eastAsia" w:ascii="仿宋_GB2312" w:hAnsi="Times New Roman" w:eastAsia="仿宋_GB2312"/>
          <w:bCs w:val="0"/>
        </w:rPr>
        <w:t>电子电器</w:t>
      </w:r>
      <w:bookmarkEnd w:id="42"/>
    </w:p>
    <w:p w14:paraId="5064CDD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以科技创新和品牌创建为主要驱动力，强化研发设计和营销推广环节，提升品牌的附加值。着力推进音响智能控制系统的研发和产业化。开发高端家庭电子产品、云储存音响、云计算3D家庭影院等视听产品。充分发挥龙头企业的带动作用，吸引相关电子企业聚集。推动数字音频传输和系统集成产品标准的制定。引进视频设备制造类企业，做大做强花都视频设备制造产业。突破超高亮度LED关键技术，重点发展半导体照明产业。大力发展GPS导航、北斗导航系统等汽车电子产品。培育和发展智能终端、5G通信终端、移动类柔性电缆和综合电缆等产品。</w:t>
      </w:r>
    </w:p>
    <w:p w14:paraId="28AA9A9B">
      <w:pPr>
        <w:pStyle w:val="4"/>
        <w:spacing w:before="0" w:after="0" w:line="560" w:lineRule="exact"/>
        <w:ind w:firstLine="643" w:firstLineChars="200"/>
        <w:rPr>
          <w:rFonts w:ascii="仿宋_GB2312" w:hAnsi="Times New Roman" w:eastAsia="仿宋_GB2312"/>
        </w:rPr>
      </w:pPr>
      <w:bookmarkStart w:id="43" w:name="_Toc76826116"/>
      <w:r>
        <w:rPr>
          <w:rFonts w:ascii="仿宋_GB2312" w:hAnsi="Times New Roman" w:eastAsia="仿宋_GB2312"/>
          <w:bCs w:val="0"/>
        </w:rPr>
        <w:t>5</w:t>
      </w:r>
      <w:r>
        <w:rPr>
          <w:rFonts w:hint="eastAsia" w:ascii="仿宋_GB2312" w:hAnsi="Times New Roman" w:eastAsia="仿宋_GB2312"/>
          <w:bCs w:val="0"/>
        </w:rPr>
        <w:t>.绿色建筑</w:t>
      </w:r>
      <w:bookmarkEnd w:id="43"/>
    </w:p>
    <w:p w14:paraId="0CC0E04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落实绿色低碳发展理念，以绿色金融改革创新试验区为契机，大</w:t>
      </w:r>
      <w:r>
        <w:rPr>
          <w:rFonts w:ascii="仿宋_GB2312" w:hAnsi="Times New Roman" w:eastAsia="仿宋_GB2312"/>
          <w:sz w:val="32"/>
          <w:szCs w:val="32"/>
        </w:rPr>
        <w:t>力</w:t>
      </w:r>
      <w:r>
        <w:rPr>
          <w:rFonts w:hint="eastAsia" w:ascii="仿宋_GB2312" w:hAnsi="Times New Roman" w:eastAsia="仿宋_GB2312"/>
          <w:sz w:val="32"/>
          <w:szCs w:val="32"/>
        </w:rPr>
        <w:t>发展绿色建筑建造、绿色建筑配套加工、绿色新型建材制造、装配式建筑、节能环保产业等。坚持规划先行，将绿色建筑、装配式建筑、海绵城市建设等要求纳入国土空间总体规划，率先以政府投资公益性建筑及大型公共建筑建设为示范引领，有序推进全区全面执行绿色建筑。加快推进国际绿色建筑建材中心项目建设，加快发展防火隔热性能好的建筑保温体系和材料，积极发展热反射涂料、低辐射镀膜玻璃、断桥隔热门窗、遮阳系统等绿色节能建材，加大既有建筑节能改造力度，促进建筑绿色化。大力发展装配式建筑。加快装配式混凝土预制部品部件、装配式钢结构预制部品部件、铝结构加工产品、木结构加工产品、建筑机电设备、装配式装修产品、被动式建筑产品、建筑工业化装备的研发和制造，加快建设工程的预制和装配技术发展，进一步提高建筑工业化技术集成水平。加强建筑废弃物的分类、破碎、筛分等技术研发，建设建筑废弃物循环利用生产基地，推进建筑废弃物资源化利用，推广利用建筑废弃物再生建材。</w:t>
      </w:r>
    </w:p>
    <w:p w14:paraId="4A6A28A2">
      <w:pPr>
        <w:pStyle w:val="2"/>
        <w:spacing w:before="0" w:after="0" w:line="560" w:lineRule="exact"/>
        <w:ind w:firstLine="643" w:firstLineChars="200"/>
        <w:rPr>
          <w:rFonts w:ascii="楷体_GB2312" w:hAnsi="仿宋" w:eastAsia="楷体_GB2312"/>
        </w:rPr>
      </w:pPr>
      <w:bookmarkStart w:id="44" w:name="_Toc76826117"/>
      <w:r>
        <w:rPr>
          <w:rFonts w:ascii="楷体_GB2312" w:hAnsi="仿宋" w:eastAsia="楷体_GB2312"/>
        </w:rPr>
        <w:t>（二）</w:t>
      </w:r>
      <w:r>
        <w:rPr>
          <w:rFonts w:hint="eastAsia" w:ascii="楷体_GB2312" w:hAnsi="仿宋" w:eastAsia="楷体_GB2312"/>
        </w:rPr>
        <w:t>做大战略性新兴产业</w:t>
      </w:r>
      <w:bookmarkEnd w:id="44"/>
    </w:p>
    <w:p w14:paraId="4C5707C8">
      <w:pPr>
        <w:pStyle w:val="4"/>
        <w:spacing w:before="0" w:after="0" w:line="560" w:lineRule="exact"/>
        <w:ind w:firstLine="643" w:firstLineChars="200"/>
        <w:rPr>
          <w:rFonts w:ascii="仿宋_GB2312" w:hAnsi="Times New Roman" w:eastAsia="仿宋_GB2312"/>
          <w:bCs w:val="0"/>
        </w:rPr>
      </w:pPr>
      <w:bookmarkStart w:id="45" w:name="_Toc76826118"/>
      <w:r>
        <w:rPr>
          <w:rFonts w:ascii="仿宋_GB2312" w:hAnsi="Times New Roman" w:eastAsia="仿宋_GB2312"/>
          <w:bCs w:val="0"/>
        </w:rPr>
        <w:t>1.</w:t>
      </w:r>
      <w:r>
        <w:rPr>
          <w:rFonts w:hint="eastAsia" w:ascii="仿宋_GB2312" w:hAnsi="Times New Roman" w:eastAsia="仿宋_GB2312"/>
          <w:bCs w:val="0"/>
        </w:rPr>
        <w:t>新能源汽车</w:t>
      </w:r>
      <w:bookmarkEnd w:id="45"/>
    </w:p>
    <w:p w14:paraId="779314B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以广州花都高新技术产业开发区</w:t>
      </w:r>
      <w:r>
        <w:rPr>
          <w:rFonts w:ascii="仿宋_GB2312" w:hAnsi="Times New Roman" w:eastAsia="仿宋_GB2312"/>
          <w:sz w:val="32"/>
          <w:szCs w:val="32"/>
        </w:rPr>
        <w:t>（</w:t>
      </w:r>
      <w:r>
        <w:rPr>
          <w:rFonts w:hint="eastAsia" w:ascii="仿宋_GB2312" w:hAnsi="Times New Roman" w:eastAsia="仿宋_GB2312"/>
          <w:sz w:val="32"/>
          <w:szCs w:val="32"/>
        </w:rPr>
        <w:t>原汽车产业基地）为依托，以东风日产、东风启辰等企业为龙头，加快推动新能源汽车的研发和产业化，引导加快e-power发动机、电池国产化、换电技术等项目推进和落实，提升电池管理和智能交互技术、环境感知和自动驾驶技术等的研发和应用。以国家车联网先导区及城市智慧汽车基础设施和机制建设试点为契机，加快建设封闭测试场、开放性测试道路等智能网联基础设施建设，鼓励新能源车企加强与华为、腾讯、科大讯飞、高德导航以及通信运营商等企业构建5G+智能网联生态圈，加</w:t>
      </w:r>
      <w:r>
        <w:rPr>
          <w:rFonts w:ascii="仿宋_GB2312" w:hAnsi="Times New Roman" w:eastAsia="仿宋_GB2312"/>
          <w:sz w:val="32"/>
          <w:szCs w:val="32"/>
        </w:rPr>
        <w:t>快</w:t>
      </w:r>
      <w:r>
        <w:rPr>
          <w:rFonts w:hint="eastAsia" w:ascii="仿宋_GB2312" w:hAnsi="Times New Roman" w:eastAsia="仿宋_GB2312"/>
          <w:sz w:val="32"/>
          <w:szCs w:val="32"/>
        </w:rPr>
        <w:t>汽车产业的智能化、电动化、网联化和共享化。加快推动长越、云彩时代等新能源商用车项目引进和建设。加快中车广州新能源汽车生产基地建设，推进新能源客车南方基地、新能源汽车整车及零部件研发中心等项目建设。支持联友出行打造一站式服务平台，加强与中国汽车工程学会及国内外智能出行科研院所的合作，培育和发展汽车智能共享出行产业。加快建设汽车创新中心和智能网联综合测试示范区建设，重点发展和建设整车测试、联合实验室、国际孵化器、双元制教育实践基地及科技产业园，打造智能网联和共享出行产业示范区。</w:t>
      </w:r>
    </w:p>
    <w:p w14:paraId="0C881AAF">
      <w:pPr>
        <w:pStyle w:val="4"/>
        <w:spacing w:before="0" w:after="0" w:line="560" w:lineRule="exact"/>
        <w:ind w:firstLine="643" w:firstLineChars="200"/>
        <w:rPr>
          <w:rFonts w:ascii="仿宋_GB2312" w:hAnsi="Times New Roman" w:eastAsia="仿宋_GB2312"/>
        </w:rPr>
      </w:pPr>
      <w:bookmarkStart w:id="46" w:name="_Toc76826119"/>
      <w:r>
        <w:rPr>
          <w:rFonts w:ascii="仿宋_GB2312" w:hAnsi="Times New Roman" w:eastAsia="仿宋_GB2312"/>
          <w:bCs w:val="0"/>
        </w:rPr>
        <w:t>2</w:t>
      </w:r>
      <w:r>
        <w:rPr>
          <w:rFonts w:hint="eastAsia" w:ascii="仿宋_GB2312" w:hAnsi="Times New Roman" w:eastAsia="仿宋_GB2312"/>
          <w:bCs w:val="0"/>
        </w:rPr>
        <w:t>.智能装备和机器人</w:t>
      </w:r>
      <w:bookmarkEnd w:id="46"/>
    </w:p>
    <w:p w14:paraId="69C0FB5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挥自动导引运输车、焊接机器人等智能产品系统集成的独特优势，做强汽车生产智能装备、日化和食品生产智能装备、终端售卖智能装备、绿色电池生产智能装备和绿色环保智能装备等产业。支持远能物流、普华灵动、德恒等智能装备企业做大做强，鼓励大中小企业通过行业协会和产业联盟实现创新协同、产能共享、供应链互通，形成新型的智能装备产业生态。</w:t>
      </w:r>
    </w:p>
    <w:p w14:paraId="291C8C46">
      <w:pPr>
        <w:pStyle w:val="4"/>
        <w:spacing w:before="0" w:after="0" w:line="560" w:lineRule="exact"/>
        <w:ind w:firstLine="643" w:firstLineChars="200"/>
        <w:rPr>
          <w:rFonts w:ascii="仿宋_GB2312" w:hAnsi="Times New Roman" w:eastAsia="仿宋_GB2312"/>
          <w:bCs w:val="0"/>
        </w:rPr>
      </w:pPr>
      <w:bookmarkStart w:id="47" w:name="_Toc76826120"/>
      <w:r>
        <w:rPr>
          <w:rFonts w:ascii="仿宋_GB2312" w:hAnsi="Times New Roman" w:eastAsia="仿宋_GB2312"/>
          <w:bCs w:val="0"/>
        </w:rPr>
        <w:t>3.</w:t>
      </w:r>
      <w:r>
        <w:rPr>
          <w:rFonts w:hint="eastAsia" w:ascii="仿宋_GB2312" w:hAnsi="Times New Roman" w:eastAsia="仿宋_GB2312"/>
          <w:bCs w:val="0"/>
        </w:rPr>
        <w:t>新材料</w:t>
      </w:r>
      <w:bookmarkEnd w:id="47"/>
    </w:p>
    <w:p w14:paraId="644730C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发挥花都精细化工产业基础优势，重点依托北科大广州新材料产业园，围绕汽车、重大装备、电子信息、生物医药、绿色建筑、日化等产业发展的需求</w:t>
      </w:r>
      <w:r>
        <w:rPr>
          <w:rFonts w:ascii="仿宋_GB2312" w:hAnsi="Times New Roman" w:eastAsia="仿宋_GB2312"/>
          <w:sz w:val="32"/>
          <w:szCs w:val="32"/>
        </w:rPr>
        <w:t>,</w:t>
      </w:r>
      <w:r>
        <w:rPr>
          <w:rFonts w:hint="eastAsia" w:ascii="仿宋_GB2312" w:hAnsi="Times New Roman" w:eastAsia="仿宋_GB2312"/>
          <w:sz w:val="32"/>
          <w:szCs w:val="32"/>
        </w:rPr>
        <w:t>建立布局合理的新材料产业体系和机制创新的研究开发、公共服务及企业孵化体系。加快尤特新材料高品质靶材项目建设，培育和引进碳纤维材料、石墨烯材料、锂硫化合物和锂硅化合物等高储能材料产业项目，促进新能源汽车发展。发展壮大以电子化学品、新型表面活性剂等为代表的精细化学品产业，创新发展高亮LED和半导体照明、3D打印用塑料以及金属材料；积极培育新型光电信息材料</w:t>
      </w:r>
      <w:r>
        <w:rPr>
          <w:rFonts w:ascii="仿宋_GB2312" w:hAnsi="Times New Roman" w:eastAsia="仿宋_GB2312"/>
          <w:sz w:val="32"/>
          <w:szCs w:val="32"/>
        </w:rPr>
        <w:t>,</w:t>
      </w:r>
      <w:r>
        <w:rPr>
          <w:rFonts w:hint="eastAsia" w:ascii="仿宋_GB2312" w:hAnsi="Times New Roman" w:eastAsia="仿宋_GB2312"/>
          <w:sz w:val="32"/>
          <w:szCs w:val="32"/>
        </w:rPr>
        <w:t>生物医用材料、新能源材料、环保节能建材等新兴材料产业群</w:t>
      </w:r>
      <w:r>
        <w:rPr>
          <w:rFonts w:ascii="仿宋_GB2312" w:hAnsi="Times New Roman" w:eastAsia="仿宋_GB2312"/>
          <w:sz w:val="32"/>
          <w:szCs w:val="32"/>
        </w:rPr>
        <w:t>,</w:t>
      </w:r>
      <w:r>
        <w:rPr>
          <w:rFonts w:hint="eastAsia" w:ascii="仿宋_GB2312" w:hAnsi="Times New Roman" w:eastAsia="仿宋_GB2312"/>
          <w:sz w:val="32"/>
          <w:szCs w:val="32"/>
        </w:rPr>
        <w:t>完善光电子、3D打印、生物医药产业链。加快推进飞机用涂料、结构防腐产品、密封产品等研发制造，促进本地航材产业发展壮大。</w:t>
      </w:r>
      <w:r>
        <w:rPr>
          <w:rFonts w:ascii="仿宋_GB2312" w:hAnsi="Times New Roman" w:eastAsia="仿宋_GB2312"/>
          <w:sz w:val="32"/>
          <w:szCs w:val="32"/>
        </w:rPr>
        <w:t xml:space="preserve"> </w:t>
      </w:r>
    </w:p>
    <w:p w14:paraId="546A5881">
      <w:pPr>
        <w:pStyle w:val="4"/>
        <w:spacing w:before="0" w:after="0" w:line="560" w:lineRule="exact"/>
        <w:ind w:firstLine="643" w:firstLineChars="200"/>
        <w:rPr>
          <w:rFonts w:ascii="仿宋_GB2312" w:hAnsi="Times New Roman" w:eastAsia="仿宋_GB2312"/>
          <w:bCs w:val="0"/>
        </w:rPr>
      </w:pPr>
      <w:bookmarkStart w:id="48" w:name="_Toc76826121"/>
      <w:r>
        <w:rPr>
          <w:rFonts w:ascii="仿宋_GB2312" w:hAnsi="Times New Roman" w:eastAsia="仿宋_GB2312"/>
          <w:bCs w:val="0"/>
        </w:rPr>
        <w:t>4.</w:t>
      </w:r>
      <w:r>
        <w:rPr>
          <w:rFonts w:hint="eastAsia" w:ascii="仿宋_GB2312" w:hAnsi="Times New Roman" w:eastAsia="仿宋_GB2312"/>
          <w:bCs w:val="0"/>
        </w:rPr>
        <w:t>生物医药</w:t>
      </w:r>
      <w:bookmarkEnd w:id="48"/>
    </w:p>
    <w:p w14:paraId="5F72E89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结合新冠肺炎疫情防控需要以及重大公共卫生事件预防需要，加强生物安全关键技术研发，加大对生物医药领域基础研究和应用基础研究的投入力度，深化区域生物医药产业合作，推进产学研融合创新，完善生物医药产业研发、试验、应用、生产、反馈链条。大力发展用于重大疾病的生物技术药物、新型疫苗等创新药物大品种；加快发展细胞工程、基因测序和生物芯片等生物医学工程相关产业；大力推进精准医疗、远程医疗等医疗信息化产业发展。促进产业集聚，加快建设粤港澳大湾区生物医药产业园，加快粤港澳大湾区健康云数据中心、生物医药科技转移转化示范基地、奇方药业标准化中药制剂中心等项目建设，协调推进粲宏生物科技、斯莱克景达实验动物等项目的落户投产，吸引国内外相关企业入驻，促进现代物流、生物医药、电商新业态融合发展，积极打造进口药物集散地。加快培育生物医药龙头骨干企业，形成一批具有较高知名度和影响力的生物医药花都品牌。推动“互联网+医疗健康”建设，更好保障人民群众生命安全和身体健康。</w:t>
      </w:r>
    </w:p>
    <w:p w14:paraId="6530D3AB">
      <w:pPr>
        <w:pStyle w:val="2"/>
        <w:spacing w:before="0" w:after="0" w:line="560" w:lineRule="exact"/>
        <w:ind w:firstLine="643" w:firstLineChars="200"/>
        <w:rPr>
          <w:rFonts w:ascii="楷体_GB2312" w:hAnsi="仿宋" w:eastAsia="楷体_GB2312"/>
        </w:rPr>
      </w:pPr>
      <w:bookmarkStart w:id="49" w:name="_Toc76826122"/>
      <w:r>
        <w:rPr>
          <w:rFonts w:ascii="楷体_GB2312" w:hAnsi="仿宋" w:eastAsia="楷体_GB2312"/>
        </w:rPr>
        <w:t>（三）提升都市型产业</w:t>
      </w:r>
      <w:bookmarkEnd w:id="49"/>
    </w:p>
    <w:p w14:paraId="327DF0FE">
      <w:pPr>
        <w:pStyle w:val="4"/>
        <w:spacing w:before="0" w:after="0" w:line="560" w:lineRule="exact"/>
        <w:ind w:firstLine="643" w:firstLineChars="200"/>
        <w:rPr>
          <w:rFonts w:ascii="仿宋_GB2312" w:hAnsi="Times New Roman" w:eastAsia="仿宋_GB2312"/>
          <w:bCs w:val="0"/>
        </w:rPr>
      </w:pPr>
      <w:bookmarkStart w:id="50" w:name="_Toc76826123"/>
      <w:r>
        <w:rPr>
          <w:rFonts w:ascii="仿宋_GB2312" w:hAnsi="Times New Roman" w:eastAsia="仿宋_GB2312"/>
          <w:bCs w:val="0"/>
        </w:rPr>
        <w:t>1.</w:t>
      </w:r>
      <w:r>
        <w:rPr>
          <w:rFonts w:hint="eastAsia" w:ascii="仿宋_GB2312" w:hAnsi="Times New Roman" w:eastAsia="仿宋_GB2312"/>
          <w:bCs w:val="0"/>
        </w:rPr>
        <w:t>皮革皮具</w:t>
      </w:r>
      <w:bookmarkEnd w:id="50"/>
    </w:p>
    <w:p w14:paraId="2EED8A6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加大新技术、新工艺、新材料的创新、应用和推广，加快皮革皮具产业技术改造，加大力度推进产业链向皮具产品研发、创意设计延伸，扶持本地创意和设计企业做大做强做精，促进产业升级从“制造”向“创造”转变。大力提升皮革皮具企业的信息化水平，鼓励皮革皮具企业上云上平台。重点围绕狮岭皮革皮具产业集群，积极引导创建品牌，提升花都“区域品牌”和“企业品牌”的影响力。积极利用5G技术、物联网、大数据等数字化手段，推动专业市场优化提升，发展电子商务，推广线上电子交易模式，引进专业机构开展跨境电子商务，从单一的商品交易场所转变成为集商品交易、展览展示、旅游观光于一体的多功能商业业态。完善创新服务共享平台，建设公共信息平台、共享制造中心、公共物流仓库和直播电商基地，谋划建设“中国皮具之都（狮岭）博览馆”，打造</w:t>
      </w:r>
      <w:r>
        <w:rPr>
          <w:rFonts w:ascii="仿宋_GB2312" w:hAnsi="Times New Roman" w:eastAsia="仿宋_GB2312"/>
          <w:sz w:val="32"/>
          <w:szCs w:val="32"/>
        </w:rPr>
        <w:t xml:space="preserve"> </w:t>
      </w:r>
      <w:r>
        <w:rPr>
          <w:rFonts w:hint="eastAsia" w:ascii="仿宋_GB2312" w:hAnsi="Times New Roman" w:eastAsia="仿宋_GB2312"/>
          <w:sz w:val="32"/>
          <w:szCs w:val="32"/>
        </w:rPr>
        <w:t>“中国皮具之都展贸中心”。</w:t>
      </w:r>
    </w:p>
    <w:p w14:paraId="6AEDD632">
      <w:pPr>
        <w:pStyle w:val="4"/>
        <w:spacing w:before="0" w:after="0" w:line="560" w:lineRule="exact"/>
        <w:ind w:firstLine="643" w:firstLineChars="200"/>
        <w:rPr>
          <w:rFonts w:ascii="仿宋_GB2312" w:hAnsi="Times New Roman" w:eastAsia="仿宋_GB2312"/>
          <w:bCs w:val="0"/>
        </w:rPr>
      </w:pPr>
      <w:bookmarkStart w:id="51" w:name="_Toc76826124"/>
      <w:r>
        <w:rPr>
          <w:rFonts w:ascii="仿宋_GB2312" w:hAnsi="Times New Roman" w:eastAsia="仿宋_GB2312"/>
          <w:bCs w:val="0"/>
        </w:rPr>
        <w:t>2.</w:t>
      </w:r>
      <w:r>
        <w:rPr>
          <w:rFonts w:hint="eastAsia" w:ascii="仿宋_GB2312" w:hAnsi="Times New Roman" w:eastAsia="仿宋_GB2312"/>
          <w:bCs w:val="0"/>
        </w:rPr>
        <w:t>纺织服装</w:t>
      </w:r>
      <w:bookmarkEnd w:id="51"/>
    </w:p>
    <w:p w14:paraId="29BF3DB1">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改变纺织服装业传统生产加工方式，鼓励采用先进纺织、染整技术、绿色染整加工技术，提升产品附加值。推动纺织服装生产自动化、数字化、智能化、数字化改造提升，促进大规模标准化生产向柔性化、个性化定制和服务型制造转变；采用新材料、新工艺、新装备，提高产品质量和档次，加强设计、研发、品牌创新、品牌运营等自主品牌建设。发挥富力·环贸港作为纺织服装产业平台经济试点的标杆作用，打造纺织服装产业电子商务平台的孵化中心，实现线上线下有机结合，推动花都纺织服装专业市场优化升级。</w:t>
      </w:r>
    </w:p>
    <w:p w14:paraId="5EAA22D6">
      <w:pPr>
        <w:pStyle w:val="4"/>
        <w:spacing w:before="0" w:after="0" w:line="560" w:lineRule="exact"/>
        <w:ind w:firstLine="643" w:firstLineChars="200"/>
        <w:rPr>
          <w:rFonts w:ascii="仿宋_GB2312" w:hAnsi="Times New Roman" w:eastAsia="仿宋_GB2312"/>
          <w:bCs w:val="0"/>
        </w:rPr>
      </w:pPr>
      <w:bookmarkStart w:id="52" w:name="_Toc76826125"/>
      <w:r>
        <w:rPr>
          <w:rFonts w:ascii="仿宋_GB2312" w:hAnsi="Times New Roman" w:eastAsia="仿宋_GB2312"/>
          <w:bCs w:val="0"/>
        </w:rPr>
        <w:t>3.</w:t>
      </w:r>
      <w:r>
        <w:rPr>
          <w:rFonts w:hint="eastAsia" w:ascii="仿宋_GB2312" w:hAnsi="Times New Roman" w:eastAsia="仿宋_GB2312"/>
          <w:bCs w:val="0"/>
        </w:rPr>
        <w:t>珠宝产业</w:t>
      </w:r>
      <w:bookmarkEnd w:id="52"/>
    </w:p>
    <w:p w14:paraId="34B1306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以培养珠宝产业自主研发设计能力为核心，促进产业转型升级。鼓励企业开展产品研发设计、产业效能提升、产品交易便捷化、产品集成整合等增值服务。支持企业加强研发设计投入，提高原始创新及个性化定制等高附加值产品的产品比例，提升产品价值链，探索研发、设计、生产、采购、物流等供应链环节和生产要素进入共享经济模式，打造利益共享价值共同体。完善珠宝小镇旅游服务设施建设，推进建设珠宝研发中心、珠宝产学研基地等，带动珠宝产业从生产加工到创意设计、从生产基地向企业总部、从生产贴牌到自主品牌、从生产制造到文化旅游转变。</w:t>
      </w:r>
    </w:p>
    <w:p w14:paraId="61201794">
      <w:pPr>
        <w:pStyle w:val="4"/>
        <w:spacing w:before="0" w:after="0" w:line="560" w:lineRule="exact"/>
        <w:ind w:firstLine="643" w:firstLineChars="200"/>
        <w:rPr>
          <w:rFonts w:ascii="仿宋_GB2312" w:hAnsi="Times New Roman" w:eastAsia="仿宋_GB2312"/>
          <w:bCs w:val="0"/>
        </w:rPr>
      </w:pPr>
      <w:bookmarkStart w:id="53" w:name="_Toc76826126"/>
      <w:r>
        <w:rPr>
          <w:rFonts w:ascii="仿宋_GB2312" w:hAnsi="Times New Roman" w:eastAsia="仿宋_GB2312"/>
          <w:bCs w:val="0"/>
        </w:rPr>
        <w:t>4.</w:t>
      </w:r>
      <w:r>
        <w:rPr>
          <w:rFonts w:hint="eastAsia" w:ascii="仿宋_GB2312" w:hAnsi="Times New Roman" w:eastAsia="仿宋_GB2312"/>
          <w:bCs w:val="0"/>
        </w:rPr>
        <w:t>日化用品</w:t>
      </w:r>
      <w:bookmarkEnd w:id="53"/>
    </w:p>
    <w:p w14:paraId="1D9BF3E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加快化妆品加工转型升级，积极培育化妆品知名品牌，推动化妆品集聚发展。发挥龙头企业进驻的示范效应，引进国内、国际化妆品知名品牌企业总部，促进业内良性竞争，整合和吸引省内全国品牌企业，形成化妆品总部集聚格局。建设化妆品产业研发设计平台，吸引国内外高端化妆品产品设计研究机构入驻，打造全国极具影响力的研发设计平台。融合时尚潮流元素，支持化妆品品牌与广告服务、电影电视、动漫游戏等行业的跨界融合，扩大影响力。加快中国美都化妆品总部集聚区项目建设，推进花都湖化妆品总部集聚区和西部化妆品先进制造基地建设，优化产业布局。</w:t>
      </w:r>
    </w:p>
    <w:p w14:paraId="55D6A4E9">
      <w:pPr>
        <w:pStyle w:val="2"/>
        <w:spacing w:before="0" w:after="0" w:line="560" w:lineRule="exact"/>
        <w:ind w:firstLine="643" w:firstLineChars="200"/>
        <w:rPr>
          <w:rFonts w:ascii="楷体_GB2312" w:hAnsi="仿宋" w:eastAsia="楷体_GB2312"/>
        </w:rPr>
      </w:pPr>
      <w:bookmarkStart w:id="54" w:name="_Toc76826127"/>
      <w:r>
        <w:rPr>
          <w:rFonts w:ascii="楷体_GB2312" w:hAnsi="仿宋" w:eastAsia="楷体_GB2312"/>
        </w:rPr>
        <w:t>（四）培育未来产业</w:t>
      </w:r>
      <w:bookmarkEnd w:id="54"/>
    </w:p>
    <w:p w14:paraId="041FAD50">
      <w:pPr>
        <w:pStyle w:val="4"/>
        <w:spacing w:before="0" w:after="0" w:line="560" w:lineRule="exact"/>
        <w:ind w:firstLine="643" w:firstLineChars="200"/>
        <w:rPr>
          <w:rFonts w:ascii="仿宋_GB2312" w:hAnsi="Times New Roman" w:eastAsia="仿宋_GB2312"/>
          <w:bCs w:val="0"/>
        </w:rPr>
      </w:pPr>
      <w:bookmarkStart w:id="55" w:name="_Toc76826128"/>
      <w:r>
        <w:rPr>
          <w:rFonts w:ascii="仿宋_GB2312" w:hAnsi="Times New Roman" w:eastAsia="仿宋_GB2312"/>
          <w:bCs w:val="0"/>
        </w:rPr>
        <w:t>1</w:t>
      </w:r>
      <w:r>
        <w:rPr>
          <w:rFonts w:hint="eastAsia" w:ascii="仿宋_GB2312" w:hAnsi="Times New Roman" w:eastAsia="仿宋_GB2312"/>
          <w:bCs w:val="0"/>
        </w:rPr>
        <w:t>.集成电路</w:t>
      </w:r>
      <w:bookmarkEnd w:id="55"/>
    </w:p>
    <w:p w14:paraId="43F6423B">
      <w:pPr>
        <w:spacing w:line="560" w:lineRule="exact"/>
        <w:ind w:firstLine="640" w:firstLineChars="200"/>
      </w:pPr>
      <w:r>
        <w:rPr>
          <w:rFonts w:hint="eastAsia" w:ascii="仿宋_GB2312" w:hAnsi="Times New Roman" w:eastAsia="仿宋_GB2312"/>
          <w:sz w:val="32"/>
          <w:szCs w:val="32"/>
        </w:rPr>
        <w:t>发挥花都汽车产业、电子信息产业基础优势，鼓励和支持龙头企业围绕</w:t>
      </w:r>
      <w:r>
        <w:rPr>
          <w:rFonts w:ascii="仿宋_GB2312" w:hAnsi="Times New Roman" w:eastAsia="仿宋_GB2312"/>
          <w:sz w:val="32"/>
          <w:szCs w:val="32"/>
        </w:rPr>
        <w:t>5</w:t>
      </w:r>
      <w:r>
        <w:rPr>
          <w:rFonts w:hint="eastAsia" w:ascii="仿宋_GB2312" w:hAnsi="Times New Roman" w:eastAsia="仿宋_GB2312"/>
          <w:sz w:val="32"/>
          <w:szCs w:val="32"/>
        </w:rPr>
        <w:t>G、物联网、云计算、智能网联汽车等重点</w:t>
      </w:r>
      <w:r>
        <w:rPr>
          <w:rFonts w:ascii="仿宋_GB2312" w:hAnsi="Times New Roman" w:eastAsia="仿宋_GB2312"/>
          <w:sz w:val="32"/>
          <w:szCs w:val="32"/>
        </w:rPr>
        <w:t>领域，积极开展射频芯片、传感器芯片、光通信芯片、显示驱动芯片、物联网智能硬件核心芯片、车规级AI（人工智能）芯片等专用芯片的开发设计。</w:t>
      </w:r>
      <w:r>
        <w:rPr>
          <w:rFonts w:hint="eastAsia" w:ascii="仿宋_GB2312" w:hAnsi="Times New Roman" w:eastAsia="仿宋_GB2312"/>
          <w:sz w:val="32"/>
          <w:szCs w:val="32"/>
        </w:rPr>
        <w:t>支持企业委托或联合境外高校、科研机构开展芯片相关技术攻关。</w:t>
      </w:r>
      <w:r>
        <w:rPr>
          <w:rFonts w:ascii="仿宋_GB2312" w:hAnsi="Times New Roman" w:eastAsia="仿宋_GB2312"/>
          <w:sz w:val="32"/>
          <w:szCs w:val="32"/>
        </w:rPr>
        <w:t>重点</w:t>
      </w:r>
      <w:r>
        <w:rPr>
          <w:rFonts w:hint="eastAsia" w:ascii="仿宋_GB2312" w:hAnsi="Times New Roman" w:eastAsia="仿宋_GB2312"/>
          <w:sz w:val="32"/>
          <w:szCs w:val="32"/>
        </w:rPr>
        <w:t>围绕汽车控制系统和车载信息系统核心芯片，开发汽车音视频/信息终端芯片、动力控制管理芯片、车身控制芯片等。积极配合新能源汽车开发的需要，开发电机驱动与控制、电力储存、充放电管理芯片及模块。推动电子元器件企业与整机厂联合开展核心技术攻关，积极发展电子级多晶硅及硅片制造。多渠道吸引投资进入集成电路领域，引导产业资源向有基础、有条件的企业和地区集聚，形成规模效应。大力发展第三代半导体芯片、 MOSFET（金属氧化物半导体场效应晶体管）、IGBT（大功率绝缘栅双极型晶体管）、高端传感器、MEMS（微机电系统）、大功率LED器件、半导体激光器等产品。</w:t>
      </w:r>
    </w:p>
    <w:p w14:paraId="5D3FA9D4">
      <w:pPr>
        <w:pStyle w:val="4"/>
        <w:spacing w:before="0" w:after="0" w:line="560" w:lineRule="exact"/>
        <w:ind w:firstLine="643" w:firstLineChars="200"/>
        <w:rPr>
          <w:rFonts w:ascii="仿宋_GB2312" w:hAnsi="Times New Roman" w:eastAsia="仿宋_GB2312"/>
          <w:bCs w:val="0"/>
        </w:rPr>
      </w:pPr>
      <w:bookmarkStart w:id="56" w:name="_Toc76826129"/>
      <w:r>
        <w:rPr>
          <w:rFonts w:ascii="仿宋_GB2312" w:hAnsi="Times New Roman" w:eastAsia="仿宋_GB2312"/>
          <w:bCs w:val="0"/>
        </w:rPr>
        <w:t>2</w:t>
      </w:r>
      <w:r>
        <w:rPr>
          <w:rFonts w:hint="eastAsia" w:ascii="仿宋_GB2312" w:hAnsi="Times New Roman" w:eastAsia="仿宋_GB2312"/>
          <w:bCs w:val="0"/>
        </w:rPr>
        <w:t>.柔性电子</w:t>
      </w:r>
      <w:bookmarkEnd w:id="56"/>
    </w:p>
    <w:p w14:paraId="087330CE">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mc:AlternateContent>
          <mc:Choice Requires="wps">
            <w:drawing>
              <wp:anchor distT="45720" distB="45720" distL="114300" distR="114300" simplePos="0" relativeHeight="251662336" behindDoc="0" locked="0" layoutInCell="1" allowOverlap="1">
                <wp:simplePos x="0" y="0"/>
                <wp:positionH relativeFrom="margin">
                  <wp:posOffset>314325</wp:posOffset>
                </wp:positionH>
                <wp:positionV relativeFrom="paragraph">
                  <wp:posOffset>2682240</wp:posOffset>
                </wp:positionV>
                <wp:extent cx="4500245" cy="2760980"/>
                <wp:effectExtent l="4445" t="4445" r="10160" b="15875"/>
                <wp:wrapTopAndBottom/>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500000" cy="2761200"/>
                        </a:xfrm>
                        <a:prstGeom prst="rect">
                          <a:avLst/>
                        </a:prstGeom>
                        <a:solidFill>
                          <a:srgbClr val="FFFFFF"/>
                        </a:solidFill>
                        <a:ln w="9525">
                          <a:solidFill>
                            <a:srgbClr val="000000"/>
                          </a:solidFill>
                          <a:miter lim="800000"/>
                        </a:ln>
                      </wps:spPr>
                      <wps:txbx>
                        <w:txbxContent>
                          <w:p w14:paraId="3745C4D0">
                            <w:pPr>
                              <w:pStyle w:val="14"/>
                              <w:spacing w:line="360" w:lineRule="auto"/>
                              <w:jc w:val="center"/>
                              <w:rPr>
                                <w:rFonts w:ascii="楷体" w:hAnsi="楷体" w:eastAsia="楷体"/>
                                <w:b/>
                                <w:spacing w:val="8"/>
                                <w:sz w:val="21"/>
                                <w:szCs w:val="21"/>
                                <w:shd w:val="clear" w:color="auto" w:fill="FFFFFF"/>
                              </w:rPr>
                            </w:pPr>
                            <w:r>
                              <w:rPr>
                                <w:rFonts w:hint="eastAsia" w:ascii="楷体" w:hAnsi="楷体" w:eastAsia="楷体"/>
                                <w:b/>
                                <w:spacing w:val="8"/>
                                <w:sz w:val="21"/>
                                <w:szCs w:val="21"/>
                                <w:shd w:val="clear" w:color="auto" w:fill="FFFFFF"/>
                              </w:rPr>
                              <w:t>柔性电子制造</w:t>
                            </w:r>
                          </w:p>
                          <w:p w14:paraId="37234AB0">
                            <w:pPr>
                              <w:pStyle w:val="15"/>
                              <w:spacing w:line="360" w:lineRule="auto"/>
                              <w:jc w:val="left"/>
                              <w:rPr>
                                <w:rFonts w:ascii="楷体" w:hAnsi="楷体" w:eastAsia="楷体"/>
                              </w:rPr>
                            </w:pPr>
                            <w:r>
                              <w:rPr>
                                <w:rFonts w:hint="eastAsia" w:ascii="楷体" w:hAnsi="楷体" w:eastAsia="楷体"/>
                              </w:rPr>
                              <w:t>柔性电子又称为塑料电子、印刷电子、有机电子聚合体电子等；是将有机</w:t>
                            </w:r>
                            <w:r>
                              <w:rPr>
                                <w:rFonts w:ascii="楷体" w:hAnsi="楷体" w:eastAsia="楷体"/>
                              </w:rPr>
                              <w:t>/无机材料电子器件制作在柔性/可延性塑料或薄金属基板上的新兴电子技术。柔性电子制造的关键包括制造工艺、基板和材料等，其核心是微纳米图案化制造。</w:t>
                            </w:r>
                          </w:p>
                          <w:p w14:paraId="717CD0E4">
                            <w:pPr>
                              <w:pStyle w:val="15"/>
                              <w:spacing w:line="360" w:lineRule="auto"/>
                              <w:jc w:val="left"/>
                              <w:rPr>
                                <w:rFonts w:ascii="楷体" w:hAnsi="楷体" w:eastAsia="楷体"/>
                              </w:rPr>
                            </w:pPr>
                            <w:r>
                              <w:rPr>
                                <w:rFonts w:hint="eastAsia" w:ascii="楷体" w:hAnsi="楷体" w:eastAsia="楷体"/>
                              </w:rPr>
                              <w:t>柔性电子以其独特的柔性</w:t>
                            </w:r>
                            <w:r>
                              <w:rPr>
                                <w:rFonts w:ascii="楷体" w:hAnsi="楷体" w:eastAsia="楷体"/>
                              </w:rPr>
                              <w:t>/延展性以及高效、低成本制造工艺，在信息、能源、医疗、国防等领域具有广泛应用前景，如柔性电子显示器、有机发光二极管OLED、印刷RFID、薄膜太阳能电池板、电子报纸、电子皮肤(Skin Patches)/人工肌肉等。</w:t>
                            </w:r>
                          </w:p>
                          <w:p w14:paraId="043D281E">
                            <w:pPr>
                              <w:jc w:val="cente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75pt;margin-top:211.2pt;height:217.4pt;width:354.35pt;mso-position-horizontal-relative:margin;mso-wrap-distance-bottom:3.6pt;mso-wrap-distance-top:3.6pt;z-index:251662336;mso-width-relative:page;mso-height-relative:page;" fillcolor="#FFFFFF" filled="t" stroked="t" coordsize="21600,21600" o:gfxdata="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63xLraAAAACgEAAA8AAAAAAAAAAQAgAAAAIgAAAGRy&#10;cy9kb3ducmV2LnhtbFBLAQIUABQAAAAIAIdO4kDdNw8tPAIAAH0EAAAOAAAAAAAAAAEAIAAAACkB&#10;AABkcnMvZTJvRG9jLnhtbFBLBQYAAAAABgAGAFkBAADXBQAAAAA=&#10;">
                <v:fill on="t" focussize="0,0"/>
                <v:stroke color="#000000" miterlimit="8" joinstyle="miter"/>
                <v:imagedata o:title=""/>
                <o:lock v:ext="edit" aspectratio="f"/>
                <v:textbox>
                  <w:txbxContent>
                    <w:p w14:paraId="3745C4D0">
                      <w:pPr>
                        <w:pStyle w:val="14"/>
                        <w:spacing w:line="360" w:lineRule="auto"/>
                        <w:jc w:val="center"/>
                        <w:rPr>
                          <w:rFonts w:ascii="楷体" w:hAnsi="楷体" w:eastAsia="楷体"/>
                          <w:b/>
                          <w:spacing w:val="8"/>
                          <w:sz w:val="21"/>
                          <w:szCs w:val="21"/>
                          <w:shd w:val="clear" w:color="auto" w:fill="FFFFFF"/>
                        </w:rPr>
                      </w:pPr>
                      <w:r>
                        <w:rPr>
                          <w:rFonts w:hint="eastAsia" w:ascii="楷体" w:hAnsi="楷体" w:eastAsia="楷体"/>
                          <w:b/>
                          <w:spacing w:val="8"/>
                          <w:sz w:val="21"/>
                          <w:szCs w:val="21"/>
                          <w:shd w:val="clear" w:color="auto" w:fill="FFFFFF"/>
                        </w:rPr>
                        <w:t>柔性电子制造</w:t>
                      </w:r>
                    </w:p>
                    <w:p w14:paraId="37234AB0">
                      <w:pPr>
                        <w:pStyle w:val="15"/>
                        <w:spacing w:line="360" w:lineRule="auto"/>
                        <w:jc w:val="left"/>
                        <w:rPr>
                          <w:rFonts w:ascii="楷体" w:hAnsi="楷体" w:eastAsia="楷体"/>
                        </w:rPr>
                      </w:pPr>
                      <w:r>
                        <w:rPr>
                          <w:rFonts w:hint="eastAsia" w:ascii="楷体" w:hAnsi="楷体" w:eastAsia="楷体"/>
                        </w:rPr>
                        <w:t>柔性电子又称为塑料电子、印刷电子、有机电子聚合体电子等；是将有机</w:t>
                      </w:r>
                      <w:r>
                        <w:rPr>
                          <w:rFonts w:ascii="楷体" w:hAnsi="楷体" w:eastAsia="楷体"/>
                        </w:rPr>
                        <w:t>/无机材料电子器件制作在柔性/可延性塑料或薄金属基板上的新兴电子技术。柔性电子制造的关键包括制造工艺、基板和材料等，其核心是微纳米图案化制造。</w:t>
                      </w:r>
                    </w:p>
                    <w:p w14:paraId="717CD0E4">
                      <w:pPr>
                        <w:pStyle w:val="15"/>
                        <w:spacing w:line="360" w:lineRule="auto"/>
                        <w:jc w:val="left"/>
                        <w:rPr>
                          <w:rFonts w:ascii="楷体" w:hAnsi="楷体" w:eastAsia="楷体"/>
                        </w:rPr>
                      </w:pPr>
                      <w:r>
                        <w:rPr>
                          <w:rFonts w:hint="eastAsia" w:ascii="楷体" w:hAnsi="楷体" w:eastAsia="楷体"/>
                        </w:rPr>
                        <w:t>柔性电子以其独特的柔性</w:t>
                      </w:r>
                      <w:r>
                        <w:rPr>
                          <w:rFonts w:ascii="楷体" w:hAnsi="楷体" w:eastAsia="楷体"/>
                        </w:rPr>
                        <w:t>/延展性以及高效、低成本制造工艺，在信息、能源、医疗、国防等领域具有广泛应用前景，如柔性电子显示器、有机发光二极管OLED、印刷RFID、薄膜太阳能电池板、电子报纸、电子皮肤(Skin Patches)/人工肌肉等。</w:t>
                      </w:r>
                    </w:p>
                    <w:p w14:paraId="043D281E">
                      <w:pPr>
                        <w:jc w:val="center"/>
                      </w:pPr>
                    </w:p>
                  </w:txbxContent>
                </v:textbox>
                <w10:wrap type="topAndBottom"/>
              </v:shape>
            </w:pict>
          </mc:Fallback>
        </mc:AlternateContent>
      </w:r>
      <w:r>
        <w:rPr>
          <w:rFonts w:hint="eastAsia" w:ascii="仿宋_GB2312" w:hAnsi="Times New Roman" w:eastAsia="仿宋_GB2312"/>
          <w:sz w:val="32"/>
          <w:szCs w:val="32"/>
        </w:rPr>
        <w:t>发挥花都光电子、电子组件、汽车电子、新材料、时尚产业等产业优势，重点支持有实力的龙头企业开展柔性显示器，聚合物电子的材料、设计、制造，柔性电子器件批量化制造等方面基础研究。探索发展柔性电子显示器、有机发光二极管OLED、化学与生物传感器、印刷RFID、柔性电池、可穿戴设备、薄膜太阳能电池板等，探索柔性电子技术及其产品在信息、能源、医疗、制造等各个领域的应用。</w:t>
      </w:r>
    </w:p>
    <w:p w14:paraId="49C59440">
      <w:pPr>
        <w:pStyle w:val="3"/>
        <w:spacing w:before="0" w:after="0" w:line="560" w:lineRule="exact"/>
        <w:rPr>
          <w:rFonts w:ascii="黑体" w:hAnsi="黑体" w:eastAsia="黑体"/>
          <w:b w:val="0"/>
          <w:sz w:val="32"/>
          <w:szCs w:val="32"/>
        </w:rPr>
      </w:pPr>
      <w:bookmarkStart w:id="57" w:name="_Toc76826130"/>
      <w:r>
        <w:rPr>
          <w:rFonts w:ascii="黑体" w:hAnsi="黑体" w:eastAsia="黑体"/>
          <w:b w:val="0"/>
          <w:sz w:val="32"/>
          <w:szCs w:val="32"/>
        </w:rPr>
        <w:t>五、</w:t>
      </w:r>
      <w:r>
        <w:rPr>
          <w:rFonts w:hint="eastAsia" w:ascii="黑体" w:hAnsi="黑体" w:eastAsia="黑体"/>
          <w:b w:val="0"/>
          <w:sz w:val="32"/>
          <w:szCs w:val="32"/>
        </w:rPr>
        <w:t>推动人工智能和数字经济高质量发展</w:t>
      </w:r>
      <w:bookmarkEnd w:id="57"/>
    </w:p>
    <w:p w14:paraId="653B209B">
      <w:pPr>
        <w:pStyle w:val="2"/>
        <w:spacing w:before="0" w:after="0" w:line="560" w:lineRule="exact"/>
        <w:ind w:firstLine="643" w:firstLineChars="200"/>
        <w:rPr>
          <w:rFonts w:ascii="楷体_GB2312" w:hAnsi="仿宋" w:eastAsia="楷体_GB2312"/>
        </w:rPr>
      </w:pPr>
      <w:bookmarkStart w:id="58" w:name="_Toc76826131"/>
      <w:r>
        <w:rPr>
          <w:rFonts w:ascii="楷体_GB2312" w:hAnsi="仿宋" w:eastAsia="楷体_GB2312"/>
        </w:rPr>
        <mc:AlternateContent>
          <mc:Choice Requires="wps">
            <w:drawing>
              <wp:anchor distT="91440" distB="91440" distL="114300" distR="114300" simplePos="0" relativeHeight="251660288" behindDoc="0" locked="0" layoutInCell="1" allowOverlap="1">
                <wp:simplePos x="0" y="0"/>
                <wp:positionH relativeFrom="margin">
                  <wp:posOffset>180975</wp:posOffset>
                </wp:positionH>
                <wp:positionV relativeFrom="paragraph">
                  <wp:posOffset>2606675</wp:posOffset>
                </wp:positionV>
                <wp:extent cx="4888865" cy="5866130"/>
                <wp:effectExtent l="5080" t="4445" r="20955" b="15875"/>
                <wp:wrapTopAndBottom/>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888865" cy="5866130"/>
                        </a:xfrm>
                        <a:prstGeom prst="rect">
                          <a:avLst/>
                        </a:prstGeom>
                        <a:noFill/>
                        <a:ln w="6350">
                          <a:solidFill>
                            <a:sysClr val="windowText" lastClr="000000"/>
                          </a:solidFill>
                          <a:miter lim="800000"/>
                        </a:ln>
                      </wps:spPr>
                      <wps:txbx>
                        <w:txbxContent>
                          <w:p w14:paraId="74D03083">
                            <w:pPr>
                              <w:pStyle w:val="15"/>
                              <w:ind w:firstLine="422"/>
                              <w:jc w:val="center"/>
                              <w:rPr>
                                <w:rStyle w:val="16"/>
                                <w:rFonts w:ascii="楷体" w:hAnsi="楷体" w:eastAsia="楷体"/>
                                <w:b/>
                                <w:i w:val="0"/>
                              </w:rPr>
                            </w:pPr>
                            <w:r>
                              <w:rPr>
                                <w:rStyle w:val="16"/>
                                <w:rFonts w:hint="eastAsia" w:ascii="楷体" w:hAnsi="楷体" w:eastAsia="楷体"/>
                                <w:b/>
                                <w:i w:val="0"/>
                                <w:szCs w:val="21"/>
                              </w:rPr>
                              <w:t>新基建</w:t>
                            </w:r>
                            <w:r>
                              <w:rPr>
                                <w:rStyle w:val="16"/>
                                <w:rFonts w:hint="eastAsia" w:ascii="楷体" w:hAnsi="楷体" w:eastAsia="楷体"/>
                                <w:b/>
                                <w:i w:val="0"/>
                              </w:rPr>
                              <w:t>及其主要领域</w:t>
                            </w:r>
                          </w:p>
                          <w:p w14:paraId="78E9A4A3">
                            <w:pPr>
                              <w:pStyle w:val="15"/>
                              <w:spacing w:line="360" w:lineRule="auto"/>
                              <w:jc w:val="left"/>
                              <w:rPr>
                                <w:rStyle w:val="12"/>
                                <w:rFonts w:ascii="楷体" w:hAnsi="楷体" w:eastAsia="楷体"/>
                              </w:rPr>
                            </w:pPr>
                            <w:r>
                              <w:rPr>
                                <w:rFonts w:hint="eastAsia" w:ascii="楷体" w:hAnsi="楷体" w:eastAsia="楷体"/>
                              </w:rPr>
                              <w:t>新型基础设施建设即新基建，目前虽然还没有统一的定义，但其所指明确，具有鲜明的科技特征和科技导向，以现代科技特别是信息科技为支撑，旨在构建数字经济时代的关键基础设施，推动实现经济社会数字化转型。它能够适应中国社会主要矛盾转化和中国经济迈向高质量发展要求，能更好支持创新、绿色环保和消费升级，在补短板的同时为新引擎助力，这是新时代对新基建的本质要求，这是新基建与老基建最大的不同。</w:t>
                            </w:r>
                          </w:p>
                          <w:p w14:paraId="7DACE3C1">
                            <w:pPr>
                              <w:pStyle w:val="15"/>
                              <w:spacing w:line="360" w:lineRule="auto"/>
                              <w:jc w:val="left"/>
                              <w:rPr>
                                <w:rFonts w:ascii="楷体" w:hAnsi="楷体" w:eastAsia="楷体"/>
                              </w:rPr>
                            </w:pPr>
                            <w:r>
                              <w:rPr>
                                <w:rFonts w:hint="eastAsia" w:ascii="楷体" w:hAnsi="楷体" w:eastAsia="楷体"/>
                              </w:rPr>
                              <w:t>根据中央系列重要会议和文献的相关表述，新基建涉及的主要领域归纳为</w:t>
                            </w:r>
                            <w:r>
                              <w:rPr>
                                <w:rFonts w:ascii="楷体" w:hAnsi="楷体" w:eastAsia="楷体"/>
                              </w:rPr>
                              <w:t>7</w:t>
                            </w:r>
                            <w:r>
                              <w:rPr>
                                <w:rFonts w:hint="eastAsia" w:ascii="楷体" w:hAnsi="楷体" w:eastAsia="楷体"/>
                              </w:rPr>
                              <w:t>个方面，即</w:t>
                            </w:r>
                            <w:r>
                              <w:rPr>
                                <w:rFonts w:ascii="楷体" w:hAnsi="楷体" w:eastAsia="楷体"/>
                              </w:rPr>
                              <w:t>5G</w:t>
                            </w:r>
                            <w:r>
                              <w:rPr>
                                <w:rFonts w:hint="eastAsia" w:ascii="楷体" w:hAnsi="楷体" w:eastAsia="楷体"/>
                              </w:rPr>
                              <w:t>基建、人工智能、大数据中心、工业互联网、城际高速铁路和城际轨道交通、特高压、新能源汽车充电桩。</w:t>
                            </w:r>
                          </w:p>
                          <w:p w14:paraId="27CE7A57">
                            <w:pPr>
                              <w:pStyle w:val="15"/>
                              <w:spacing w:line="360" w:lineRule="auto"/>
                              <w:rPr>
                                <w:rFonts w:asciiTheme="majorEastAsia" w:hAnsiTheme="majorEastAsia" w:eastAsiaTheme="majorEastAsia"/>
                              </w:rPr>
                            </w:pPr>
                            <w:r>
                              <w:rPr>
                                <w:rFonts w:hint="eastAsia" w:ascii="楷体" w:hAnsi="楷体" w:eastAsia="楷体"/>
                              </w:rPr>
                              <w:t>《广州市加快推进数字新基建发展三年行动计划（</w:t>
                            </w:r>
                            <w:r>
                              <w:rPr>
                                <w:rFonts w:ascii="楷体" w:hAnsi="楷体" w:eastAsia="楷体"/>
                              </w:rPr>
                              <w:t>2020</w:t>
                            </w:r>
                            <w:r>
                              <w:rPr>
                                <w:rFonts w:hint="eastAsia" w:ascii="楷体" w:hAnsi="楷体" w:eastAsia="楷体"/>
                              </w:rPr>
                              <w:t>—</w:t>
                            </w:r>
                            <w:r>
                              <w:rPr>
                                <w:rFonts w:ascii="楷体" w:hAnsi="楷体" w:eastAsia="楷体"/>
                              </w:rPr>
                              <w:t>2022</w:t>
                            </w:r>
                            <w:r>
                              <w:rPr>
                                <w:rFonts w:hint="eastAsia" w:ascii="楷体" w:hAnsi="楷体" w:eastAsia="楷体"/>
                              </w:rPr>
                              <w:t>年）》提出，要</w:t>
                            </w:r>
                            <w:r>
                              <w:rPr>
                                <w:rFonts w:ascii="楷体" w:hAnsi="楷体" w:eastAsia="楷体"/>
                              </w:rPr>
                              <w:t>市区联动齐抓共建，重点</w:t>
                            </w:r>
                            <w:r>
                              <w:rPr>
                                <w:rFonts w:hint="eastAsia" w:ascii="楷体" w:hAnsi="楷体" w:eastAsia="楷体"/>
                              </w:rPr>
                              <w:t>发展</w:t>
                            </w:r>
                            <w:r>
                              <w:rPr>
                                <w:rFonts w:ascii="楷体" w:hAnsi="楷体" w:eastAsia="楷体"/>
                              </w:rPr>
                              <w:t>“5G、人工智能、工业互联网、智慧充电设施”等四大领域</w:t>
                            </w:r>
                            <w:r>
                              <w:rPr>
                                <w:rFonts w:hint="eastAsia" w:ascii="楷体" w:hAnsi="楷体" w:eastAsia="楷体"/>
                              </w:rPr>
                              <w:t>，打造</w:t>
                            </w:r>
                            <w:r>
                              <w:rPr>
                                <w:rFonts w:ascii="楷体" w:hAnsi="楷体" w:eastAsia="楷体"/>
                              </w:rPr>
                              <w:t>粤港澳大湾区信息基础设施领先城市</w:t>
                            </w:r>
                            <w:r>
                              <w:rPr>
                                <w:rFonts w:hint="eastAsia" w:ascii="楷体" w:hAnsi="楷体" w:eastAsia="楷体"/>
                              </w:rPr>
                              <w:t>、全国智慧充电设施的标杆城市、全球顶尖的智能化</w:t>
                            </w:r>
                            <w:r>
                              <w:rPr>
                                <w:rFonts w:ascii="楷体" w:hAnsi="楷体" w:eastAsia="楷体"/>
                              </w:rPr>
                              <w:t xml:space="preserve"> </w:t>
                            </w:r>
                            <w:r>
                              <w:rPr>
                                <w:rFonts w:hint="eastAsia" w:ascii="楷体" w:hAnsi="楷体" w:eastAsia="楷体"/>
                              </w:rPr>
                              <w:t>“创新型智慧城市”</w:t>
                            </w:r>
                            <w:r>
                              <w:rPr>
                                <w:rFonts w:ascii="楷体" w:hAnsi="楷体" w:eastAsia="楷体"/>
                              </w:rPr>
                              <w:t xml:space="preserve"> </w:t>
                            </w:r>
                            <w:r>
                              <w:rPr>
                                <w:rFonts w:hint="eastAsia" w:ascii="楷体" w:hAnsi="楷体" w:eastAsia="楷体"/>
                              </w:rPr>
                              <w:t>、全球跨界融合型“智造名城”。到</w:t>
                            </w:r>
                            <w:r>
                              <w:rPr>
                                <w:rFonts w:ascii="楷体" w:hAnsi="楷体" w:eastAsia="楷体"/>
                              </w:rPr>
                              <w:t>2022</w:t>
                            </w:r>
                            <w:r>
                              <w:rPr>
                                <w:rFonts w:hint="eastAsia" w:ascii="楷体" w:hAnsi="楷体" w:eastAsia="楷体"/>
                              </w:rPr>
                              <w:t>年，全市</w:t>
                            </w:r>
                            <w:r>
                              <w:rPr>
                                <w:rFonts w:ascii="楷体" w:hAnsi="楷体" w:eastAsia="楷体"/>
                              </w:rPr>
                              <w:t>累计建成5G基站8万座，总投资超过300亿元，培育200家5G应用领域创新型企业</w:t>
                            </w:r>
                            <w:r>
                              <w:rPr>
                                <w:rFonts w:hint="eastAsia" w:ascii="楷体" w:hAnsi="楷体" w:eastAsia="楷体"/>
                              </w:rPr>
                              <w:t>；</w:t>
                            </w:r>
                            <w:r>
                              <w:rPr>
                                <w:rFonts w:ascii="楷体" w:hAnsi="楷体" w:eastAsia="楷体"/>
                              </w:rPr>
                              <w:t>数据中心可使用折合标准机架数约20万个</w:t>
                            </w:r>
                            <w:r>
                              <w:rPr>
                                <w:rFonts w:hint="eastAsia" w:ascii="楷体" w:hAnsi="楷体" w:eastAsia="楷体"/>
                              </w:rPr>
                              <w:t>；充换电设施数量突破</w:t>
                            </w:r>
                            <w:r>
                              <w:rPr>
                                <w:rFonts w:ascii="楷体" w:hAnsi="楷体" w:eastAsia="楷体"/>
                              </w:rPr>
                              <w:t>5</w:t>
                            </w:r>
                            <w:r>
                              <w:rPr>
                                <w:rFonts w:hint="eastAsia" w:ascii="楷体" w:hAnsi="楷体" w:eastAsia="楷体"/>
                              </w:rPr>
                              <w:t>万个，充换电站点突破</w:t>
                            </w:r>
                            <w:r>
                              <w:rPr>
                                <w:rFonts w:ascii="楷体" w:hAnsi="楷体" w:eastAsia="楷体"/>
                              </w:rPr>
                              <w:t>4000</w:t>
                            </w:r>
                            <w:r>
                              <w:rPr>
                                <w:rFonts w:hint="eastAsia" w:ascii="楷体" w:hAnsi="楷体" w:eastAsia="楷体"/>
                              </w:rPr>
                              <w:t>个，充换电服务能力达到</w:t>
                            </w:r>
                            <w:r>
                              <w:rPr>
                                <w:rFonts w:ascii="楷体" w:hAnsi="楷体" w:eastAsia="楷体"/>
                              </w:rPr>
                              <w:t>250</w:t>
                            </w:r>
                            <w:r>
                              <w:rPr>
                                <w:rFonts w:hint="eastAsia" w:ascii="楷体" w:hAnsi="楷体" w:eastAsia="楷体"/>
                              </w:rPr>
                              <w:t>万千瓦。打造智能网联汽车、智能机器人、智能硬件等</w:t>
                            </w:r>
                            <w:r>
                              <w:rPr>
                                <w:rFonts w:ascii="楷体" w:hAnsi="楷体" w:eastAsia="楷体"/>
                              </w:rPr>
                              <w:t>8</w:t>
                            </w:r>
                            <w:r>
                              <w:rPr>
                                <w:rFonts w:hint="eastAsia" w:ascii="楷体" w:hAnsi="楷体" w:eastAsia="楷体"/>
                              </w:rPr>
                              <w:t>个重点产业集群，推动标识解析国家顶级节点（广州）建设成为国家级网络空间核心基础设施，培育</w:t>
                            </w:r>
                            <w:r>
                              <w:rPr>
                                <w:rFonts w:ascii="楷体" w:hAnsi="楷体" w:eastAsia="楷体"/>
                              </w:rPr>
                              <w:t>1—2家达到国际水准的跨行业跨领域工业互联网平台。</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25pt;margin-top:205.25pt;height:461.9pt;width:384.95pt;mso-position-horizontal-relative:margin;mso-wrap-distance-bottom:7.2pt;mso-wrap-distance-top:7.2pt;z-index:251660288;mso-width-relative:page;mso-height-relative:page;" filled="f" stroked="t" coordsize="21600,21600" o:gfxdata="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ju8X9wAAAALAQAADwAAAAAAAAABACAA&#10;AAAiAAAAZHJzL2Rvd25yZXYueG1sUEsBAhQAFAAAAAgAh07iQITEJy5CAgAAZwQAAA4AAAAAAAAA&#10;AQAgAAAAKwEAAGRycy9lMm9Eb2MueG1sUEsFBgAAAAAGAAYAWQEAAN8FAAAAAA==&#10;">
                <v:fill on="f" focussize="0,0"/>
                <v:stroke weight="0.5pt" color="#000000" miterlimit="8" joinstyle="miter"/>
                <v:imagedata o:title=""/>
                <o:lock v:ext="edit" aspectratio="f"/>
                <v:textbox>
                  <w:txbxContent>
                    <w:p w14:paraId="74D03083">
                      <w:pPr>
                        <w:pStyle w:val="15"/>
                        <w:ind w:firstLine="422"/>
                        <w:jc w:val="center"/>
                        <w:rPr>
                          <w:rStyle w:val="16"/>
                          <w:rFonts w:ascii="楷体" w:hAnsi="楷体" w:eastAsia="楷体"/>
                          <w:b/>
                          <w:i w:val="0"/>
                        </w:rPr>
                      </w:pPr>
                      <w:r>
                        <w:rPr>
                          <w:rStyle w:val="16"/>
                          <w:rFonts w:hint="eastAsia" w:ascii="楷体" w:hAnsi="楷体" w:eastAsia="楷体"/>
                          <w:b/>
                          <w:i w:val="0"/>
                          <w:szCs w:val="21"/>
                        </w:rPr>
                        <w:t>新基建</w:t>
                      </w:r>
                      <w:r>
                        <w:rPr>
                          <w:rStyle w:val="16"/>
                          <w:rFonts w:hint="eastAsia" w:ascii="楷体" w:hAnsi="楷体" w:eastAsia="楷体"/>
                          <w:b/>
                          <w:i w:val="0"/>
                        </w:rPr>
                        <w:t>及其主要领域</w:t>
                      </w:r>
                    </w:p>
                    <w:p w14:paraId="78E9A4A3">
                      <w:pPr>
                        <w:pStyle w:val="15"/>
                        <w:spacing w:line="360" w:lineRule="auto"/>
                        <w:jc w:val="left"/>
                        <w:rPr>
                          <w:rStyle w:val="12"/>
                          <w:rFonts w:ascii="楷体" w:hAnsi="楷体" w:eastAsia="楷体"/>
                        </w:rPr>
                      </w:pPr>
                      <w:r>
                        <w:rPr>
                          <w:rFonts w:hint="eastAsia" w:ascii="楷体" w:hAnsi="楷体" w:eastAsia="楷体"/>
                        </w:rPr>
                        <w:t>新型基础设施建设即新基建，目前虽然还没有统一的定义，但其所指明确，具有鲜明的科技特征和科技导向，以现代科技特别是信息科技为支撑，旨在构建数字经济时代的关键基础设施，推动实现经济社会数字化转型。它能够适应中国社会主要矛盾转化和中国经济迈向高质量发展要求，能更好支持创新、绿色环保和消费升级，在补短板的同时为新引擎助力，这是新时代对新基建的本质要求，这是新基建与老基建最大的不同。</w:t>
                      </w:r>
                    </w:p>
                    <w:p w14:paraId="7DACE3C1">
                      <w:pPr>
                        <w:pStyle w:val="15"/>
                        <w:spacing w:line="360" w:lineRule="auto"/>
                        <w:jc w:val="left"/>
                        <w:rPr>
                          <w:rFonts w:ascii="楷体" w:hAnsi="楷体" w:eastAsia="楷体"/>
                        </w:rPr>
                      </w:pPr>
                      <w:r>
                        <w:rPr>
                          <w:rFonts w:hint="eastAsia" w:ascii="楷体" w:hAnsi="楷体" w:eastAsia="楷体"/>
                        </w:rPr>
                        <w:t>根据中央系列重要会议和文献的相关表述，新基建涉及的主要领域归纳为</w:t>
                      </w:r>
                      <w:r>
                        <w:rPr>
                          <w:rFonts w:ascii="楷体" w:hAnsi="楷体" w:eastAsia="楷体"/>
                        </w:rPr>
                        <w:t>7</w:t>
                      </w:r>
                      <w:r>
                        <w:rPr>
                          <w:rFonts w:hint="eastAsia" w:ascii="楷体" w:hAnsi="楷体" w:eastAsia="楷体"/>
                        </w:rPr>
                        <w:t>个方面，即</w:t>
                      </w:r>
                      <w:r>
                        <w:rPr>
                          <w:rFonts w:ascii="楷体" w:hAnsi="楷体" w:eastAsia="楷体"/>
                        </w:rPr>
                        <w:t>5G</w:t>
                      </w:r>
                      <w:r>
                        <w:rPr>
                          <w:rFonts w:hint="eastAsia" w:ascii="楷体" w:hAnsi="楷体" w:eastAsia="楷体"/>
                        </w:rPr>
                        <w:t>基建、人工智能、大数据中心、工业互联网、城际高速铁路和城际轨道交通、特高压、新能源汽车充电桩。</w:t>
                      </w:r>
                    </w:p>
                    <w:p w14:paraId="27CE7A57">
                      <w:pPr>
                        <w:pStyle w:val="15"/>
                        <w:spacing w:line="360" w:lineRule="auto"/>
                        <w:rPr>
                          <w:rFonts w:asciiTheme="majorEastAsia" w:hAnsiTheme="majorEastAsia" w:eastAsiaTheme="majorEastAsia"/>
                        </w:rPr>
                      </w:pPr>
                      <w:r>
                        <w:rPr>
                          <w:rFonts w:hint="eastAsia" w:ascii="楷体" w:hAnsi="楷体" w:eastAsia="楷体"/>
                        </w:rPr>
                        <w:t>《广州市加快推进数字新基建发展三年行动计划（</w:t>
                      </w:r>
                      <w:r>
                        <w:rPr>
                          <w:rFonts w:ascii="楷体" w:hAnsi="楷体" w:eastAsia="楷体"/>
                        </w:rPr>
                        <w:t>2020</w:t>
                      </w:r>
                      <w:r>
                        <w:rPr>
                          <w:rFonts w:hint="eastAsia" w:ascii="楷体" w:hAnsi="楷体" w:eastAsia="楷体"/>
                        </w:rPr>
                        <w:t>—</w:t>
                      </w:r>
                      <w:r>
                        <w:rPr>
                          <w:rFonts w:ascii="楷体" w:hAnsi="楷体" w:eastAsia="楷体"/>
                        </w:rPr>
                        <w:t>2022</w:t>
                      </w:r>
                      <w:r>
                        <w:rPr>
                          <w:rFonts w:hint="eastAsia" w:ascii="楷体" w:hAnsi="楷体" w:eastAsia="楷体"/>
                        </w:rPr>
                        <w:t>年）》提出，要</w:t>
                      </w:r>
                      <w:r>
                        <w:rPr>
                          <w:rFonts w:ascii="楷体" w:hAnsi="楷体" w:eastAsia="楷体"/>
                        </w:rPr>
                        <w:t>市区联动齐抓共建，重点</w:t>
                      </w:r>
                      <w:r>
                        <w:rPr>
                          <w:rFonts w:hint="eastAsia" w:ascii="楷体" w:hAnsi="楷体" w:eastAsia="楷体"/>
                        </w:rPr>
                        <w:t>发展</w:t>
                      </w:r>
                      <w:r>
                        <w:rPr>
                          <w:rFonts w:ascii="楷体" w:hAnsi="楷体" w:eastAsia="楷体"/>
                        </w:rPr>
                        <w:t>“5G、人工智能、工业互联网、智慧充电设施”等四大领域</w:t>
                      </w:r>
                      <w:r>
                        <w:rPr>
                          <w:rFonts w:hint="eastAsia" w:ascii="楷体" w:hAnsi="楷体" w:eastAsia="楷体"/>
                        </w:rPr>
                        <w:t>，打造</w:t>
                      </w:r>
                      <w:r>
                        <w:rPr>
                          <w:rFonts w:ascii="楷体" w:hAnsi="楷体" w:eastAsia="楷体"/>
                        </w:rPr>
                        <w:t>粤港澳大湾区信息基础设施领先城市</w:t>
                      </w:r>
                      <w:r>
                        <w:rPr>
                          <w:rFonts w:hint="eastAsia" w:ascii="楷体" w:hAnsi="楷体" w:eastAsia="楷体"/>
                        </w:rPr>
                        <w:t>、全国智慧充电设施的标杆城市、全球顶尖的智能化</w:t>
                      </w:r>
                      <w:r>
                        <w:rPr>
                          <w:rFonts w:ascii="楷体" w:hAnsi="楷体" w:eastAsia="楷体"/>
                        </w:rPr>
                        <w:t xml:space="preserve"> </w:t>
                      </w:r>
                      <w:r>
                        <w:rPr>
                          <w:rFonts w:hint="eastAsia" w:ascii="楷体" w:hAnsi="楷体" w:eastAsia="楷体"/>
                        </w:rPr>
                        <w:t>“创新型智慧城市”</w:t>
                      </w:r>
                      <w:r>
                        <w:rPr>
                          <w:rFonts w:ascii="楷体" w:hAnsi="楷体" w:eastAsia="楷体"/>
                        </w:rPr>
                        <w:t xml:space="preserve"> </w:t>
                      </w:r>
                      <w:r>
                        <w:rPr>
                          <w:rFonts w:hint="eastAsia" w:ascii="楷体" w:hAnsi="楷体" w:eastAsia="楷体"/>
                        </w:rPr>
                        <w:t>、全球跨界融合型“智造名城”。到</w:t>
                      </w:r>
                      <w:r>
                        <w:rPr>
                          <w:rFonts w:ascii="楷体" w:hAnsi="楷体" w:eastAsia="楷体"/>
                        </w:rPr>
                        <w:t>2022</w:t>
                      </w:r>
                      <w:r>
                        <w:rPr>
                          <w:rFonts w:hint="eastAsia" w:ascii="楷体" w:hAnsi="楷体" w:eastAsia="楷体"/>
                        </w:rPr>
                        <w:t>年，全市</w:t>
                      </w:r>
                      <w:r>
                        <w:rPr>
                          <w:rFonts w:ascii="楷体" w:hAnsi="楷体" w:eastAsia="楷体"/>
                        </w:rPr>
                        <w:t>累计建成5G基站8万座，总投资超过300亿元，培育200家5G应用领域创新型企业</w:t>
                      </w:r>
                      <w:r>
                        <w:rPr>
                          <w:rFonts w:hint="eastAsia" w:ascii="楷体" w:hAnsi="楷体" w:eastAsia="楷体"/>
                        </w:rPr>
                        <w:t>；</w:t>
                      </w:r>
                      <w:r>
                        <w:rPr>
                          <w:rFonts w:ascii="楷体" w:hAnsi="楷体" w:eastAsia="楷体"/>
                        </w:rPr>
                        <w:t>数据中心可使用折合标准机架数约20万个</w:t>
                      </w:r>
                      <w:r>
                        <w:rPr>
                          <w:rFonts w:hint="eastAsia" w:ascii="楷体" w:hAnsi="楷体" w:eastAsia="楷体"/>
                        </w:rPr>
                        <w:t>；充换电设施数量突破</w:t>
                      </w:r>
                      <w:r>
                        <w:rPr>
                          <w:rFonts w:ascii="楷体" w:hAnsi="楷体" w:eastAsia="楷体"/>
                        </w:rPr>
                        <w:t>5</w:t>
                      </w:r>
                      <w:r>
                        <w:rPr>
                          <w:rFonts w:hint="eastAsia" w:ascii="楷体" w:hAnsi="楷体" w:eastAsia="楷体"/>
                        </w:rPr>
                        <w:t>万个，充换电站点突破</w:t>
                      </w:r>
                      <w:r>
                        <w:rPr>
                          <w:rFonts w:ascii="楷体" w:hAnsi="楷体" w:eastAsia="楷体"/>
                        </w:rPr>
                        <w:t>4000</w:t>
                      </w:r>
                      <w:r>
                        <w:rPr>
                          <w:rFonts w:hint="eastAsia" w:ascii="楷体" w:hAnsi="楷体" w:eastAsia="楷体"/>
                        </w:rPr>
                        <w:t>个，充换电服务能力达到</w:t>
                      </w:r>
                      <w:r>
                        <w:rPr>
                          <w:rFonts w:ascii="楷体" w:hAnsi="楷体" w:eastAsia="楷体"/>
                        </w:rPr>
                        <w:t>250</w:t>
                      </w:r>
                      <w:r>
                        <w:rPr>
                          <w:rFonts w:hint="eastAsia" w:ascii="楷体" w:hAnsi="楷体" w:eastAsia="楷体"/>
                        </w:rPr>
                        <w:t>万千瓦。打造智能网联汽车、智能机器人、智能硬件等</w:t>
                      </w:r>
                      <w:r>
                        <w:rPr>
                          <w:rFonts w:ascii="楷体" w:hAnsi="楷体" w:eastAsia="楷体"/>
                        </w:rPr>
                        <w:t>8</w:t>
                      </w:r>
                      <w:r>
                        <w:rPr>
                          <w:rFonts w:hint="eastAsia" w:ascii="楷体" w:hAnsi="楷体" w:eastAsia="楷体"/>
                        </w:rPr>
                        <w:t>个重点产业集群，推动标识解析国家顶级节点（广州）建设成为国家级网络空间核心基础设施，培育</w:t>
                      </w:r>
                      <w:r>
                        <w:rPr>
                          <w:rFonts w:ascii="楷体" w:hAnsi="楷体" w:eastAsia="楷体"/>
                        </w:rPr>
                        <w:t>1—2家达到国际水准的跨行业跨领域工业互联网平台。</w:t>
                      </w:r>
                    </w:p>
                  </w:txbxContent>
                </v:textbox>
                <w10:wrap type="topAndBottom"/>
              </v:shape>
            </w:pict>
          </mc:Fallback>
        </mc:AlternateContent>
      </w:r>
      <w:r>
        <w:rPr>
          <w:rFonts w:hint="eastAsia" w:ascii="楷体_GB2312" w:hAnsi="仿宋" w:eastAsia="楷体_GB2312"/>
        </w:rPr>
        <w:t>（一）构建数字经济基础设施体系</w:t>
      </w:r>
      <w:bookmarkEnd w:id="58"/>
    </w:p>
    <w:p w14:paraId="1BF08F71">
      <w:pPr>
        <w:pStyle w:val="4"/>
        <w:spacing w:before="0" w:after="0" w:line="560" w:lineRule="exact"/>
        <w:ind w:firstLine="643" w:firstLineChars="200"/>
        <w:rPr>
          <w:rFonts w:ascii="仿宋_GB2312" w:hAnsi="Times New Roman" w:eastAsia="仿宋_GB2312"/>
          <w:bCs w:val="0"/>
        </w:rPr>
      </w:pPr>
      <w:bookmarkStart w:id="59" w:name="_Toc76826132"/>
      <w:r>
        <w:rPr>
          <w:rFonts w:ascii="仿宋_GB2312" w:hAnsi="Times New Roman" w:eastAsia="仿宋_GB2312"/>
          <w:bCs w:val="0"/>
        </w:rPr>
        <w:t>1.</w:t>
      </w:r>
      <w:r>
        <w:rPr>
          <w:rFonts w:hint="eastAsia" w:ascii="仿宋_GB2312" w:hAnsi="Times New Roman" w:eastAsia="仿宋_GB2312"/>
          <w:bCs w:val="0"/>
        </w:rPr>
        <w:t>大力推进新基建建设</w:t>
      </w:r>
      <w:bookmarkEnd w:id="59"/>
    </w:p>
    <w:p w14:paraId="537CF795">
      <w:pPr>
        <w:spacing w:line="560" w:lineRule="exact"/>
        <w:ind w:firstLine="640" w:firstLineChars="200"/>
        <w:rPr>
          <w:rFonts w:ascii="仿宋_GB2312" w:eastAsia="仿宋_GB2312"/>
        </w:rPr>
      </w:pPr>
      <w:r>
        <w:rPr>
          <w:rFonts w:hint="eastAsia" w:ascii="仿宋_GB2312" w:hAnsi="仿宋" w:eastAsia="仿宋_GB2312" w:cs="Times New Roman"/>
          <w:sz w:val="32"/>
          <w:szCs w:val="32"/>
        </w:rPr>
        <w:t>抢抓数字“新基建”发展制高点，重点建设</w:t>
      </w:r>
      <w:r>
        <w:rPr>
          <w:rFonts w:ascii="仿宋_GB2312" w:hAnsi="仿宋" w:eastAsia="仿宋_GB2312" w:cs="Times New Roman"/>
          <w:sz w:val="32"/>
          <w:szCs w:val="32"/>
        </w:rPr>
        <w:t>5G、人工智能、工业互联网、智慧充电设施等数字新基建。</w:t>
      </w:r>
      <w:r>
        <w:rPr>
          <w:rFonts w:hint="eastAsia" w:ascii="仿宋_GB2312" w:hAnsi="仿宋" w:eastAsia="仿宋_GB2312" w:cs="Times New Roman"/>
          <w:sz w:val="32"/>
          <w:szCs w:val="32"/>
        </w:rPr>
        <w:t>大力推进</w:t>
      </w:r>
      <w:r>
        <w:rPr>
          <w:rFonts w:ascii="仿宋_GB2312" w:hAnsi="仿宋" w:eastAsia="仿宋_GB2312" w:cs="Times New Roman"/>
          <w:sz w:val="32"/>
          <w:szCs w:val="32"/>
        </w:rPr>
        <w:t>5G基础设施建设。</w:t>
      </w:r>
      <w:r>
        <w:rPr>
          <w:rFonts w:hint="eastAsia" w:ascii="仿宋_GB2312" w:hAnsi="仿宋" w:eastAsia="仿宋_GB2312" w:cs="Times New Roman"/>
          <w:sz w:val="32"/>
          <w:szCs w:val="32"/>
        </w:rPr>
        <w:t>鼓励通信运营企业加大</w:t>
      </w:r>
      <w:r>
        <w:rPr>
          <w:rFonts w:ascii="仿宋_GB2312" w:hAnsi="仿宋" w:eastAsia="仿宋_GB2312" w:cs="Times New Roman"/>
          <w:sz w:val="32"/>
          <w:szCs w:val="32"/>
        </w:rPr>
        <w:t>5G技术研发、</w:t>
      </w:r>
      <w:r>
        <w:rPr>
          <w:rFonts w:hint="eastAsia" w:ascii="仿宋_GB2312" w:hAnsi="仿宋" w:eastAsia="仿宋_GB2312" w:cs="Times New Roman"/>
          <w:sz w:val="32"/>
          <w:szCs w:val="32"/>
        </w:rPr>
        <w:t>网络建设和试点投入，结合“三线整治工作”同步推进</w:t>
      </w:r>
      <w:r>
        <w:rPr>
          <w:rFonts w:ascii="仿宋_GB2312" w:hAnsi="仿宋" w:eastAsia="仿宋_GB2312" w:cs="Times New Roman"/>
          <w:sz w:val="32"/>
          <w:szCs w:val="32"/>
        </w:rPr>
        <w:t>5G网络建设</w:t>
      </w:r>
      <w:r>
        <w:rPr>
          <w:rFonts w:hint="eastAsia" w:ascii="仿宋_GB2312" w:hAnsi="仿宋" w:eastAsia="仿宋_GB2312" w:cs="Times New Roman"/>
          <w:sz w:val="32"/>
          <w:szCs w:val="32"/>
        </w:rPr>
        <w:t>。鼓励运营商和基础设施建设商加大投资力度，推动路灯、监控杆、电力杆等社会资源开放共享，持续提升高速带宽网络能力，促进企业设备、系统、平台之间的互联互通和数据共享；加快建设“智杆”，积极引入社会资本加入智慧灯杆建设。结合通信、视频监控、车联网、物联感知等应用需求以及城市道路临时泊位规划，编制智慧灯杆建设专项规划。进一步完善充电设施网络布局，加快推动充电站、充电桩等基础设施建设，加快换电设施建设。建设覆盖全区乃至全市的换电网络，积极发展私人电动汽车、出租车、网约车换电服务，促进新能源汽车产业发展。</w:t>
      </w:r>
    </w:p>
    <w:p w14:paraId="7BA65711">
      <w:pPr>
        <w:pStyle w:val="4"/>
        <w:spacing w:before="0" w:after="0" w:line="560" w:lineRule="exact"/>
        <w:ind w:firstLine="643" w:firstLineChars="200"/>
        <w:rPr>
          <w:rFonts w:ascii="仿宋_GB2312" w:hAnsi="Times New Roman" w:eastAsia="仿宋_GB2312"/>
          <w:bCs w:val="0"/>
        </w:rPr>
      </w:pPr>
      <w:bookmarkStart w:id="60" w:name="_Toc76826133"/>
      <w:r>
        <w:rPr>
          <w:rFonts w:ascii="仿宋_GB2312" w:hAnsi="Times New Roman" w:eastAsia="仿宋_GB2312"/>
          <w:bCs w:val="0"/>
        </w:rPr>
        <w:t>2.</w:t>
      </w:r>
      <w:r>
        <w:rPr>
          <w:rFonts w:hint="eastAsia" w:ascii="仿宋_GB2312" w:hAnsi="Times New Roman" w:eastAsia="仿宋_GB2312"/>
          <w:bCs w:val="0"/>
        </w:rPr>
        <w:t>建设绿色数据中心</w:t>
      </w:r>
      <w:bookmarkEnd w:id="60"/>
    </w:p>
    <w:p w14:paraId="12C6EB90">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发挥花都生态</w:t>
      </w:r>
      <w:r>
        <w:rPr>
          <w:rFonts w:ascii="仿宋_GB2312" w:hAnsi="仿宋" w:eastAsia="仿宋_GB2312" w:cs="Times New Roman"/>
          <w:sz w:val="32"/>
          <w:szCs w:val="32"/>
        </w:rPr>
        <w:t>环境及区位优势，</w:t>
      </w:r>
      <w:r>
        <w:rPr>
          <w:rFonts w:hint="eastAsia" w:ascii="仿宋_GB2312" w:hAnsi="仿宋" w:eastAsia="仿宋_GB2312" w:cs="Times New Roman"/>
          <w:sz w:val="32"/>
          <w:szCs w:val="32"/>
        </w:rPr>
        <w:t>积极引进互联网知名企业全国性数据中心和农业、工业、医疗健康等行业区域性数据中心。</w:t>
      </w:r>
      <w:r>
        <w:rPr>
          <w:rFonts w:ascii="仿宋_GB2312" w:hAnsi="仿宋" w:eastAsia="仿宋_GB2312" w:cs="Times New Roman"/>
          <w:sz w:val="32"/>
          <w:szCs w:val="32"/>
        </w:rPr>
        <w:t>支持建设一批行业细分领域工业云平台，</w:t>
      </w:r>
      <w:r>
        <w:rPr>
          <w:rFonts w:hint="eastAsia" w:ascii="仿宋_GB2312" w:hAnsi="仿宋" w:eastAsia="仿宋_GB2312" w:cs="Times New Roman"/>
          <w:sz w:val="32"/>
          <w:szCs w:val="32"/>
        </w:rPr>
        <w:t>支持开展政府大数据、行业大数据、企业大数据和个人大数据的整合和应用，推进区级大数据中心建设，建立健全与国家省市数据中心的互联机制，促进数据畅通共享。鼓励校企联合攻关，加强大数据分析与挖掘的关键算法和共性关键技术的研发，加快大数据技术的应用推广，支持企业面向全国提供大数据技术、产品、服务和应用解决方案。</w:t>
      </w:r>
    </w:p>
    <w:p w14:paraId="3D5E7DB8">
      <w:pPr>
        <w:pStyle w:val="4"/>
        <w:spacing w:before="0" w:after="0" w:line="560" w:lineRule="exact"/>
        <w:ind w:firstLine="643" w:firstLineChars="200"/>
        <w:rPr>
          <w:rFonts w:ascii="仿宋_GB2312" w:hAnsi="Times New Roman" w:eastAsia="仿宋_GB2312"/>
          <w:bCs w:val="0"/>
        </w:rPr>
      </w:pPr>
      <w:bookmarkStart w:id="61" w:name="_Toc76826134"/>
      <w:r>
        <w:rPr>
          <w:rFonts w:ascii="仿宋_GB2312" w:hAnsi="Times New Roman" w:eastAsia="仿宋_GB2312"/>
          <w:bCs w:val="0"/>
        </w:rPr>
        <w:t>3.积极</w:t>
      </w:r>
      <w:r>
        <w:rPr>
          <w:rFonts w:hint="eastAsia" w:ascii="仿宋_GB2312" w:hAnsi="Times New Roman" w:eastAsia="仿宋_GB2312"/>
          <w:bCs w:val="0"/>
        </w:rPr>
        <w:t>布局</w:t>
      </w:r>
      <w:r>
        <w:rPr>
          <w:rFonts w:ascii="仿宋_GB2312" w:hAnsi="Times New Roman" w:eastAsia="仿宋_GB2312"/>
          <w:bCs w:val="0"/>
        </w:rPr>
        <w:t>数字经济新业态试验设施</w:t>
      </w:r>
      <w:bookmarkEnd w:id="61"/>
    </w:p>
    <w:p w14:paraId="5B692CE0">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依托空铁融合发展示范区建设，</w:t>
      </w:r>
      <w:r>
        <w:rPr>
          <w:rFonts w:ascii="仿宋_GB2312" w:hAnsi="仿宋" w:eastAsia="仿宋_GB2312" w:cs="Times New Roman"/>
          <w:sz w:val="32"/>
          <w:szCs w:val="32"/>
        </w:rPr>
        <w:t>鼓励和</w:t>
      </w:r>
      <w:r>
        <w:rPr>
          <w:rFonts w:hint="eastAsia" w:ascii="仿宋_GB2312" w:hAnsi="仿宋" w:eastAsia="仿宋_GB2312" w:cs="Times New Roman"/>
          <w:sz w:val="32"/>
          <w:szCs w:val="32"/>
        </w:rPr>
        <w:t>支持广州北站、</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白云机场、</w:t>
      </w:r>
      <w:r>
        <w:rPr>
          <w:rFonts w:hint="eastAsia" w:ascii="仿宋_GB2312" w:hAnsi="Times New Roman" w:eastAsia="仿宋_GB2312"/>
          <w:sz w:val="32"/>
          <w:szCs w:val="32"/>
        </w:rPr>
        <w:t>广州花都高新技术产业开发区</w:t>
      </w:r>
      <w:r>
        <w:rPr>
          <w:rFonts w:hint="eastAsia" w:ascii="仿宋_GB2312" w:hAnsi="仿宋" w:eastAsia="仿宋_GB2312" w:cs="Times New Roman"/>
          <w:sz w:val="32"/>
          <w:szCs w:val="32"/>
        </w:rPr>
        <w:t>等有条件的区域，率先部署5G车联网路侧基础设施，加快工信部国家车联网先导区、住建部</w:t>
      </w:r>
      <w:r>
        <w:rPr>
          <w:rFonts w:ascii="仿宋_GB2312" w:hAnsi="仿宋" w:eastAsia="仿宋_GB2312" w:cs="Times New Roman"/>
          <w:sz w:val="32"/>
          <w:szCs w:val="32"/>
        </w:rPr>
        <w:t xml:space="preserve">CIM </w:t>
      </w:r>
      <w:r>
        <w:rPr>
          <w:rFonts w:hint="eastAsia" w:ascii="仿宋_GB2312" w:hAnsi="仿宋" w:eastAsia="仿宋_GB2312" w:cs="Times New Roman"/>
          <w:sz w:val="32"/>
          <w:szCs w:val="32"/>
        </w:rPr>
        <w:t>（城市信息模型）平台和城市汽车智慧基础设施花都试点项目、国家（广州）智能网联汽车示范区（花都封闭测试场）建设。打造城市一站式一体化出行</w:t>
      </w:r>
      <w:r>
        <w:rPr>
          <w:rFonts w:ascii="仿宋_GB2312" w:hAnsi="仿宋" w:eastAsia="仿宋_GB2312" w:cs="Times New Roman"/>
          <w:sz w:val="32"/>
          <w:szCs w:val="32"/>
        </w:rPr>
        <w:t>MaaS （出行即服务）平台，</w:t>
      </w:r>
      <w:r>
        <w:rPr>
          <w:rFonts w:hint="eastAsia" w:ascii="仿宋_GB2312" w:hAnsi="仿宋" w:eastAsia="仿宋_GB2312" w:cs="Times New Roman"/>
          <w:sz w:val="32"/>
          <w:szCs w:val="32"/>
        </w:rPr>
        <w:t>建设一批面向车联网、自动驾驶、无人运载工具等新技术新装备应用的专用试验平台。</w:t>
      </w:r>
    </w:p>
    <w:p w14:paraId="547E9688">
      <w:pPr>
        <w:pStyle w:val="2"/>
        <w:spacing w:before="0" w:after="0" w:line="560" w:lineRule="exact"/>
        <w:ind w:firstLine="643" w:firstLineChars="200"/>
        <w:rPr>
          <w:rFonts w:ascii="楷体_GB2312" w:hAnsi="仿宋" w:eastAsia="楷体_GB2312"/>
        </w:rPr>
      </w:pPr>
      <w:bookmarkStart w:id="62" w:name="_Toc76826135"/>
      <w:r>
        <w:rPr>
          <w:rFonts w:ascii="楷体_GB2312" w:hAnsi="仿宋" w:eastAsia="楷体_GB2312"/>
        </w:rPr>
        <w:t>（二）培育发展核心产业</w:t>
      </w:r>
      <w:bookmarkEnd w:id="62"/>
    </w:p>
    <w:p w14:paraId="460A7A45">
      <w:pPr>
        <w:pStyle w:val="4"/>
        <w:spacing w:before="0" w:after="0" w:line="560" w:lineRule="exact"/>
        <w:ind w:firstLine="643" w:firstLineChars="200"/>
        <w:rPr>
          <w:rFonts w:ascii="仿宋_GB2312" w:hAnsi="Times New Roman" w:eastAsia="仿宋_GB2312"/>
          <w:bCs w:val="0"/>
        </w:rPr>
      </w:pPr>
      <w:bookmarkStart w:id="63" w:name="_Toc76826136"/>
      <w:r>
        <w:rPr>
          <w:rFonts w:ascii="仿宋_GB2312" w:hAnsi="Times New Roman" w:eastAsia="仿宋_GB2312"/>
          <w:bCs w:val="0"/>
        </w:rPr>
        <w:t>1.</w:t>
      </w:r>
      <w:r>
        <w:rPr>
          <w:rFonts w:hint="eastAsia" w:ascii="仿宋_GB2312" w:hAnsi="Times New Roman" w:eastAsia="仿宋_GB2312"/>
          <w:bCs w:val="0"/>
        </w:rPr>
        <w:t>人工智能</w:t>
      </w:r>
      <w:bookmarkEnd w:id="63"/>
    </w:p>
    <w:p w14:paraId="03A1B4D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加强新一代人工智能基础理论的顶层设计和统筹协调，加强信息科学和脑认知科学的交叉融合，培育原创性人工智能重大成果。鼓励引导智能汽车、智能电子等企业突破人工智能芯片的自主研发，发展具有战略地位的关键核心技术。重点突破复杂动态场景感知、实时精准定位、自适应智能导航等共性技术，提升工业机器人控制、传感和协作性能。支持提升关键零部件、核心软件和可靠性技术水平突破瓶颈制约。支持开展关键机器人装备和系统研发，延伸拓展机器人领域的应用研究，进一步提升机器人在深度感知、自主控制、精准执行、人机交互、安全运维方面的能力水平。鼓励支持企业申报国家、省级智能制造试点项目，拉动工业机器人在高端制造、传统支柱产业、社会民生和农业生产等领域的示范应用，推动服务型机器人、高端定制制造业发展。加大高端人工智能人才引进力度。开辟专门渠道，实行特殊政策，重点引进神经认知、机器学习、自动驾驶、智能机器人等国内外顶尖科学家和高水平创新团队。</w:t>
      </w:r>
    </w:p>
    <w:p w14:paraId="7F5D912C">
      <w:pPr>
        <w:pStyle w:val="4"/>
        <w:spacing w:before="0" w:after="0" w:line="560" w:lineRule="exact"/>
        <w:ind w:firstLine="643" w:firstLineChars="200"/>
        <w:rPr>
          <w:rFonts w:ascii="仿宋_GB2312" w:hAnsi="Times New Roman" w:eastAsia="仿宋_GB2312"/>
        </w:rPr>
      </w:pPr>
      <w:bookmarkStart w:id="64" w:name="_Toc76826137"/>
      <w:r>
        <w:rPr>
          <w:rFonts w:ascii="仿宋_GB2312" w:hAnsi="Times New Roman" w:eastAsia="仿宋_GB2312"/>
          <w:bCs w:val="0"/>
        </w:rPr>
        <w:t>2</w:t>
      </w:r>
      <w:r>
        <w:rPr>
          <w:rFonts w:hint="eastAsia" w:ascii="仿宋_GB2312" w:hAnsi="Times New Roman" w:eastAsia="仿宋_GB2312"/>
          <w:bCs w:val="0"/>
        </w:rPr>
        <w:t>.智能网联汽车</w:t>
      </w:r>
      <w:bookmarkEnd w:id="64"/>
    </w:p>
    <w:p w14:paraId="419E238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借助数字经济发展浪潮，把握智能网联汽车高速发展机遇，依托花都良好汽车产业基础，以广州市创建“国家基于宽带移动互联网智能网联汽车与智慧交通应用示范区”为突破口，加快智能网联汽车研发及产业化，鼓励龙头企业加强自动驾驶芯片算法及关键技术研发，依托汽车产业基地和智能网联汽车示范基地，扶持东风日产，推动采埃孚研发中心项目等重点企业落地，围绕智能网联汽车和感知、决策、控制等关键零部件，以及智能出行、数据增值、车联网等产业链战略环节，开展高层次引入工作，打造智能网联汽车全产业链。</w:t>
      </w:r>
    </w:p>
    <w:p w14:paraId="5B450A28">
      <w:pPr>
        <w:pStyle w:val="4"/>
        <w:spacing w:before="0" w:after="0" w:line="560" w:lineRule="exact"/>
        <w:ind w:firstLine="643" w:firstLineChars="200"/>
        <w:rPr>
          <w:rFonts w:ascii="仿宋_GB2312" w:hAnsi="Times New Roman" w:eastAsia="仿宋_GB2312"/>
          <w:bCs w:val="0"/>
        </w:rPr>
      </w:pPr>
      <w:bookmarkStart w:id="65" w:name="_Toc76826138"/>
      <w:r>
        <w:rPr>
          <w:rFonts w:ascii="仿宋_GB2312" w:hAnsi="Times New Roman" w:eastAsia="仿宋_GB2312"/>
          <w:bCs w:val="0"/>
        </w:rPr>
        <w:t>3.</w:t>
      </w:r>
      <w:r>
        <w:rPr>
          <w:rFonts w:hint="eastAsia" w:ascii="仿宋_GB2312" w:hAnsi="Times New Roman" w:eastAsia="仿宋_GB2312"/>
          <w:bCs w:val="0"/>
        </w:rPr>
        <w:t>智能电子</w:t>
      </w:r>
      <w:bookmarkEnd w:id="65"/>
    </w:p>
    <w:p w14:paraId="1BE6583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以中国电科华南电子信息产业园、广州国光智能电子产业园（2025PARK）、2.5总部产业园为主要载体，大力扶持区内重点企业，支持在花都设立研发总部或区域研发中心，大力扶持企业做强做大，重点推进相关</w:t>
      </w:r>
      <w:r>
        <w:rPr>
          <w:rFonts w:ascii="仿宋_GB2312" w:hAnsi="Times New Roman" w:eastAsia="仿宋_GB2312"/>
          <w:sz w:val="32"/>
          <w:szCs w:val="32"/>
        </w:rPr>
        <w:t>企业</w:t>
      </w:r>
      <w:r>
        <w:rPr>
          <w:rFonts w:hint="eastAsia" w:ascii="仿宋_GB2312" w:hAnsi="Times New Roman" w:eastAsia="仿宋_GB2312"/>
          <w:sz w:val="32"/>
          <w:szCs w:val="32"/>
        </w:rPr>
        <w:t>研发制造项目建设，集聚发展新一代信息技术、人工智能、新型显示等产业。</w:t>
      </w:r>
      <w:r>
        <w:rPr>
          <w:rFonts w:ascii="仿宋" w:hAnsi="仿宋" w:eastAsia="仿宋"/>
          <w:sz w:val="32"/>
          <w:szCs w:val="32"/>
        </w:rPr>
        <w:t>支持2025PARK和花都数字文化创意园等重点双创载体打造成为国家级孵化器</w:t>
      </w:r>
      <w:r>
        <w:rPr>
          <w:rFonts w:hint="eastAsia" w:ascii="仿宋_GB2312" w:hAnsi="Times New Roman" w:eastAsia="仿宋_GB2312"/>
          <w:sz w:val="32"/>
          <w:szCs w:val="32"/>
        </w:rPr>
        <w:t>。加快推进电子信息小镇建设，将超高清显示应用场景作为大数据融合应用的重要发力点，打造5G+超高清视频+应用的高端制造产业生态。优化“政企联合”招商机制，面向全国引进更多科技含量高、发展前景好、带动能力强的龙头企业及优质项目，加速智能电子产业集聚。</w:t>
      </w:r>
    </w:p>
    <w:p w14:paraId="55B34797">
      <w:pPr>
        <w:pStyle w:val="4"/>
        <w:spacing w:before="0" w:after="0" w:line="560" w:lineRule="exact"/>
        <w:ind w:firstLine="643" w:firstLineChars="200"/>
        <w:rPr>
          <w:rFonts w:ascii="仿宋_GB2312" w:hAnsi="Times New Roman" w:eastAsia="仿宋_GB2312"/>
          <w:bCs w:val="0"/>
        </w:rPr>
      </w:pPr>
      <w:bookmarkStart w:id="66" w:name="_Toc76826139"/>
      <w:r>
        <w:rPr>
          <w:rFonts w:ascii="仿宋_GB2312" w:hAnsi="Times New Roman" w:eastAsia="仿宋_GB2312"/>
          <w:bCs w:val="0"/>
        </w:rPr>
        <w:t>4.</w:t>
      </w:r>
      <w:r>
        <w:rPr>
          <w:rFonts w:hint="eastAsia" w:ascii="仿宋_GB2312" w:hAnsi="Times New Roman" w:eastAsia="仿宋_GB2312"/>
          <w:bCs w:val="0"/>
        </w:rPr>
        <w:t>新型显示</w:t>
      </w:r>
      <w:bookmarkEnd w:id="66"/>
    </w:p>
    <w:p w14:paraId="677A6842">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聚焦超高清视频及新型显示产业国际标准和价值链高端，重点突破大尺寸LCD器件工艺技术、低温多晶硅、氧化物背板工艺大规模生产技术，积极发展Mini</w:t>
      </w:r>
      <w:r>
        <w:rPr>
          <w:rFonts w:ascii="仿宋_GB2312" w:hAnsi="Times New Roman" w:eastAsia="仿宋_GB2312"/>
          <w:sz w:val="32"/>
          <w:szCs w:val="32"/>
        </w:rPr>
        <w:t xml:space="preserve"> </w:t>
      </w:r>
      <w:r>
        <w:rPr>
          <w:rFonts w:hint="eastAsia" w:ascii="仿宋_GB2312" w:hAnsi="Times New Roman" w:eastAsia="仿宋_GB2312"/>
          <w:sz w:val="32"/>
          <w:szCs w:val="32"/>
        </w:rPr>
        <w:t>LED、Micro</w:t>
      </w:r>
      <w:r>
        <w:rPr>
          <w:rFonts w:ascii="仿宋_GB2312" w:hAnsi="Times New Roman" w:eastAsia="仿宋_GB2312"/>
          <w:sz w:val="32"/>
          <w:szCs w:val="32"/>
        </w:rPr>
        <w:t xml:space="preserve"> </w:t>
      </w:r>
      <w:r>
        <w:rPr>
          <w:rFonts w:hint="eastAsia" w:ascii="仿宋_GB2312" w:hAnsi="Times New Roman" w:eastAsia="仿宋_GB2312"/>
          <w:sz w:val="32"/>
          <w:szCs w:val="32"/>
        </w:rPr>
        <w:t>LED等新型显示，探索量子点、柔性显示、石墨烯显示、平板显示器检测等新型显示关键核心技术。引进半导体及关键元器件，力争突破新型封装测试等环节，同步发展集成电路专用装备及材料。推进低温多晶硅技术LTPS、曲面显示屏产品、伪4K分辨率显示屏等先进显示技术及产品的开发。发展可穿戴设备及智能汽车相关的显示装置。</w:t>
      </w:r>
    </w:p>
    <w:p w14:paraId="463F5AED">
      <w:pPr>
        <w:pStyle w:val="4"/>
        <w:spacing w:before="0" w:after="0" w:line="560" w:lineRule="exact"/>
        <w:ind w:firstLine="643" w:firstLineChars="200"/>
        <w:rPr>
          <w:rFonts w:ascii="仿宋_GB2312" w:hAnsi="Times New Roman" w:eastAsia="仿宋_GB2312"/>
          <w:bCs w:val="0"/>
        </w:rPr>
      </w:pPr>
      <w:bookmarkStart w:id="67" w:name="_Toc76826140"/>
      <w:r>
        <w:rPr>
          <w:rFonts w:ascii="仿宋_GB2312" w:hAnsi="Times New Roman" w:eastAsia="仿宋_GB2312"/>
          <w:bCs w:val="0"/>
        </w:rPr>
        <w:t>5.</w:t>
      </w:r>
      <w:r>
        <w:rPr>
          <w:rFonts w:hint="eastAsia" w:ascii="仿宋_GB2312" w:hAnsi="Times New Roman" w:eastAsia="仿宋_GB2312"/>
          <w:bCs w:val="0"/>
        </w:rPr>
        <w:t>区块链</w:t>
      </w:r>
      <w:bookmarkEnd w:id="67"/>
    </w:p>
    <w:p w14:paraId="45E6638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依托龙头制造企业的技术研发优势，引进并培育从事分布式区块链研发、场景应用、计算机系统集成、数据处理等业务的企业入驻，引导创新性优势企业围绕区块链关键核心技术、区块链与新一代信息技术融合等方面开展攻关，为区块链技术创新和产业发展夯实基础。积极培育本土企业和自主技术团队、科研院所探索区块链技术应用场景，依托绿色金融改革创新试验区，大力推动区块链技术在绿色金融领域的创新应用，扶持智度供应链金融服务有限公司利用区块链技术做大做强供应链金融，推动区块链与物流、医疗、政务、能源等行业和领域的广泛深度融合及应用，加快发展区块链专业服务。</w:t>
      </w:r>
    </w:p>
    <w:p w14:paraId="41CFEF63">
      <w:pPr>
        <w:pStyle w:val="2"/>
        <w:spacing w:before="0" w:after="0" w:line="560" w:lineRule="exact"/>
        <w:ind w:firstLine="643" w:firstLineChars="200"/>
        <w:rPr>
          <w:rFonts w:ascii="楷体_GB2312" w:hAnsi="仿宋" w:eastAsia="楷体_GB2312"/>
        </w:rPr>
      </w:pPr>
      <w:bookmarkStart w:id="68" w:name="_Toc76826141"/>
      <w:r>
        <w:rPr>
          <w:rFonts w:hint="eastAsia" w:ascii="楷体_GB2312" w:hAnsi="仿宋" w:eastAsia="楷体_GB2312"/>
        </w:rPr>
        <w:t>（三）促进产业数字化</w:t>
      </w:r>
      <w:bookmarkEnd w:id="68"/>
    </w:p>
    <w:p w14:paraId="5B2596A8">
      <w:pPr>
        <w:pStyle w:val="4"/>
        <w:spacing w:before="0" w:after="0" w:line="560" w:lineRule="exact"/>
        <w:ind w:firstLine="643" w:firstLineChars="200"/>
        <w:rPr>
          <w:rFonts w:ascii="仿宋_GB2312" w:hAnsi="Times New Roman" w:eastAsia="仿宋_GB2312"/>
        </w:rPr>
      </w:pPr>
      <w:bookmarkStart w:id="69" w:name="_Toc76826142"/>
      <w:r>
        <w:rPr>
          <w:rFonts w:ascii="仿宋_GB2312" w:hAnsi="Times New Roman" w:eastAsia="仿宋_GB2312"/>
          <w:bCs w:val="0"/>
        </w:rPr>
        <w:t>1</w:t>
      </w:r>
      <w:r>
        <w:rPr>
          <w:rFonts w:hint="eastAsia" w:ascii="仿宋_GB2312" w:hAnsi="Times New Roman" w:eastAsia="仿宋_GB2312"/>
          <w:bCs w:val="0"/>
        </w:rPr>
        <w:t>.推进“制造+5G”的深度融合</w:t>
      </w:r>
      <w:bookmarkEnd w:id="69"/>
    </w:p>
    <w:p w14:paraId="705272E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支持</w:t>
      </w:r>
      <w:r>
        <w:rPr>
          <w:rFonts w:ascii="仿宋_GB2312" w:hAnsi="仿宋" w:eastAsia="仿宋_GB2312" w:cs="Times New Roman"/>
          <w:sz w:val="32"/>
          <w:szCs w:val="32"/>
        </w:rPr>
        <w:t>5G与制造业深度融合，通过工业机器人、工业核心软件、无线或远程控制应用，实现5G系统与终端设备的互联互通</w:t>
      </w:r>
      <w:r>
        <w:rPr>
          <w:rFonts w:hint="eastAsia" w:ascii="仿宋_GB2312" w:hAnsi="仿宋" w:eastAsia="仿宋_GB2312" w:cs="Times New Roman"/>
          <w:sz w:val="32"/>
          <w:szCs w:val="32"/>
        </w:rPr>
        <w:t>。</w:t>
      </w:r>
      <w:r>
        <w:rPr>
          <w:rFonts w:ascii="仿宋_GB2312" w:hAnsi="仿宋" w:eastAsia="仿宋_GB2312" w:cs="Times New Roman"/>
          <w:sz w:val="32"/>
          <w:szCs w:val="32"/>
        </w:rPr>
        <w:t>加快5G应用场景建设，加快5G网络在生产场所的网络部署，支持企业开展5G+智能制造、5G+VR/AR等技术应用</w:t>
      </w:r>
      <w:r>
        <w:rPr>
          <w:rFonts w:hint="eastAsia" w:ascii="仿宋_GB2312" w:hAnsi="仿宋" w:eastAsia="仿宋_GB2312" w:cs="Times New Roman"/>
          <w:sz w:val="32"/>
          <w:szCs w:val="32"/>
        </w:rPr>
        <w:t>；</w:t>
      </w:r>
      <w:r>
        <w:rPr>
          <w:rFonts w:ascii="仿宋_GB2312" w:hAnsi="仿宋" w:eastAsia="仿宋_GB2312" w:cs="Times New Roman"/>
          <w:sz w:val="32"/>
          <w:szCs w:val="32"/>
        </w:rPr>
        <w:t>扶持广电、电信运营商开通5G+超高视频网络电视，推动信息消费升级。扶持东风日产开展5G+无人驾驶，开展基于无人驾驶的定制化应用网络建设，推进无人驾驶技术在新能源汽车中的应用。</w:t>
      </w:r>
    </w:p>
    <w:p w14:paraId="66C0AF42">
      <w:pPr>
        <w:pStyle w:val="4"/>
        <w:spacing w:before="0" w:after="0" w:line="560" w:lineRule="exact"/>
        <w:ind w:firstLine="643" w:firstLineChars="200"/>
        <w:rPr>
          <w:rFonts w:ascii="仿宋_GB2312" w:hAnsi="Times New Roman" w:eastAsia="仿宋_GB2312"/>
          <w:bCs w:val="0"/>
        </w:rPr>
      </w:pPr>
      <w:bookmarkStart w:id="70" w:name="_Toc76826143"/>
      <w:r>
        <w:rPr>
          <w:rFonts w:ascii="仿宋_GB2312" w:hAnsi="Times New Roman" w:eastAsia="仿宋_GB2312"/>
          <w:bCs w:val="0"/>
        </w:rPr>
        <w:t>2</w:t>
      </w:r>
      <w:r>
        <w:rPr>
          <w:rFonts w:hint="eastAsia" w:ascii="仿宋_GB2312" w:hAnsi="Times New Roman" w:eastAsia="仿宋_GB2312"/>
          <w:bCs w:val="0"/>
        </w:rPr>
        <w:t>.深化工业互联网与制造业融合发展</w:t>
      </w:r>
      <w:bookmarkEnd w:id="70"/>
    </w:p>
    <w:p w14:paraId="420EAF0C">
      <w:pPr>
        <w:spacing w:line="560" w:lineRule="exact"/>
        <w:ind w:firstLine="640" w:firstLineChars="200"/>
        <w:rPr>
          <w:rFonts w:ascii="仿宋_GB2312" w:hAnsi="仿宋" w:eastAsia="仿宋_GB2312" w:cs="Times New Roman"/>
          <w:sz w:val="32"/>
          <w:szCs w:val="32"/>
        </w:rPr>
      </w:pPr>
      <w:r>
        <w:rPr>
          <w:rFonts w:ascii="仿宋" w:hAnsi="仿宋" w:eastAsia="仿宋" w:cs="Times New Roman"/>
          <w:sz w:val="32"/>
          <w:szCs w:val="32"/>
        </w:rPr>
        <mc:AlternateContent>
          <mc:Choice Requires="wps">
            <w:drawing>
              <wp:anchor distT="45720" distB="45720" distL="114300" distR="114300" simplePos="0" relativeHeight="251661312" behindDoc="0" locked="0" layoutInCell="1" allowOverlap="1">
                <wp:simplePos x="0" y="0"/>
                <wp:positionH relativeFrom="margin">
                  <wp:posOffset>336550</wp:posOffset>
                </wp:positionH>
                <wp:positionV relativeFrom="paragraph">
                  <wp:posOffset>4051300</wp:posOffset>
                </wp:positionV>
                <wp:extent cx="4789170" cy="3103880"/>
                <wp:effectExtent l="4445" t="4445" r="6985" b="15875"/>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89170" cy="3103880"/>
                        </a:xfrm>
                        <a:prstGeom prst="rect">
                          <a:avLst/>
                        </a:prstGeom>
                        <a:solidFill>
                          <a:srgbClr val="FFFFFF"/>
                        </a:solidFill>
                        <a:ln w="9525">
                          <a:solidFill>
                            <a:srgbClr val="000000"/>
                          </a:solidFill>
                          <a:miter lim="800000"/>
                        </a:ln>
                      </wps:spPr>
                      <wps:txbx>
                        <w:txbxContent>
                          <w:p w14:paraId="4DD951F7">
                            <w:pPr>
                              <w:spacing w:line="360" w:lineRule="auto"/>
                              <w:jc w:val="center"/>
                              <w:rPr>
                                <w:rFonts w:ascii="楷体" w:hAnsi="楷体" w:eastAsia="楷体"/>
                                <w:b/>
                              </w:rPr>
                            </w:pPr>
                            <w:r>
                              <w:rPr>
                                <w:rFonts w:hint="eastAsia" w:ascii="楷体" w:hAnsi="楷体" w:eastAsia="楷体"/>
                                <w:b/>
                              </w:rPr>
                              <w:t>工业互联网标识解析体系</w:t>
                            </w:r>
                          </w:p>
                          <w:p w14:paraId="2F4D6BE7">
                            <w:pPr>
                              <w:spacing w:line="360" w:lineRule="auto"/>
                              <w:ind w:firstLine="420" w:firstLineChars="200"/>
                              <w:rPr>
                                <w:rFonts w:ascii="楷体" w:hAnsi="楷体" w:eastAsia="楷体" w:cs="Arial"/>
                                <w:color w:val="333333"/>
                                <w:shd w:val="clear" w:color="auto" w:fill="FFFFFF"/>
                              </w:rPr>
                            </w:pPr>
                            <w:r>
                              <w:rPr>
                                <w:rFonts w:hint="eastAsia" w:ascii="楷体" w:hAnsi="楷体" w:eastAsia="楷体" w:cs="Arial"/>
                                <w:color w:val="333333"/>
                                <w:shd w:val="clear" w:color="auto" w:fill="FFFFFF"/>
                              </w:rPr>
                              <w:t>工业互联网标识解析体系类似互联网领域的域名解析系统</w:t>
                            </w:r>
                            <w:r>
                              <w:rPr>
                                <w:rFonts w:ascii="楷体" w:hAnsi="楷体" w:eastAsia="楷体" w:cs="Arial"/>
                                <w:color w:val="333333"/>
                                <w:shd w:val="clear" w:color="auto" w:fill="FFFFFF"/>
                              </w:rPr>
                              <w:t>(DNS)</w:t>
                            </w:r>
                            <w:r>
                              <w:rPr>
                                <w:rFonts w:hint="eastAsia" w:ascii="楷体" w:hAnsi="楷体" w:eastAsia="楷体" w:cs="Arial"/>
                                <w:color w:val="333333"/>
                                <w:shd w:val="clear" w:color="auto" w:fill="FFFFFF"/>
                              </w:rPr>
                              <w:t>，是工业互联网网络的重要组成部分。中国工业互联网标识解析体系</w:t>
                            </w:r>
                            <w:r>
                              <w:rPr>
                                <w:rFonts w:ascii="楷体" w:hAnsi="楷体" w:eastAsia="楷体" w:cs="Arial"/>
                                <w:color w:val="333333"/>
                                <w:shd w:val="clear" w:color="auto" w:fill="FFFFFF"/>
                              </w:rPr>
                              <w:t>2018</w:t>
                            </w:r>
                            <w:r>
                              <w:rPr>
                                <w:rFonts w:hint="eastAsia" w:ascii="楷体" w:hAnsi="楷体" w:eastAsia="楷体" w:cs="Arial"/>
                                <w:color w:val="333333"/>
                                <w:shd w:val="clear" w:color="auto" w:fill="FFFFFF"/>
                              </w:rPr>
                              <w:t>年底上线运行，目前在北京、上海、广州、重庆、武汉有5个顶级节点，在贵阳和南京有2个灾备节点；二级节点</w:t>
                            </w:r>
                            <w:r>
                              <w:rPr>
                                <w:rFonts w:ascii="楷体" w:hAnsi="楷体" w:eastAsia="楷体" w:cs="Arial"/>
                                <w:color w:val="333333"/>
                                <w:shd w:val="clear" w:color="auto" w:fill="FFFFFF"/>
                              </w:rPr>
                              <w:t>60</w:t>
                            </w:r>
                            <w:r>
                              <w:rPr>
                                <w:rFonts w:hint="eastAsia" w:ascii="楷体" w:hAnsi="楷体" w:eastAsia="楷体" w:cs="Arial"/>
                                <w:color w:val="333333"/>
                                <w:shd w:val="clear" w:color="auto" w:fill="FFFFFF"/>
                              </w:rPr>
                              <w:t>个。已有</w:t>
                            </w:r>
                            <w:r>
                              <w:rPr>
                                <w:rFonts w:ascii="楷体" w:hAnsi="楷体" w:eastAsia="楷体" w:cs="Arial"/>
                                <w:color w:val="333333"/>
                                <w:shd w:val="clear" w:color="auto" w:fill="FFFFFF"/>
                              </w:rPr>
                              <w:t>3000</w:t>
                            </w:r>
                            <w:r>
                              <w:rPr>
                                <w:rFonts w:hint="eastAsia" w:ascii="楷体" w:hAnsi="楷体" w:eastAsia="楷体" w:cs="Arial"/>
                                <w:color w:val="333333"/>
                                <w:shd w:val="clear" w:color="auto" w:fill="FFFFFF"/>
                              </w:rPr>
                              <w:t>多个企业接入国家工业互联网标识解析体系中。工业互联网标识应用目前围绕三个层级发展，解决工业企业的痛点。在产品设备层面，主要解决产品溯源难的问题、产品质量管控和设备运行数据缺失等问题；在过程流程层面，主要解决系统间互通性差、企业无法决策，以及多维数据汇聚和处理能力不便等问题；在产业资源层面，主要解决标准、协同效率低和资源协同配置能力不足的问题。</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5pt;margin-top:319pt;height:244.4pt;width:377.1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GXV1NoAAAALAQAADwAAAAAAAAABACAAAAAiAAAAZHJz&#10;L2Rvd25yZXYueG1sUEsBAhQAFAAAAAgAh07iQGboJTA7AgAAfAQAAA4AAAAAAAAAAQAgAAAAKQEA&#10;AGRycy9lMm9Eb2MueG1sUEsFBgAAAAAGAAYAWQEAANYFAAAAAA==&#10;">
                <v:fill on="t" focussize="0,0"/>
                <v:stroke color="#000000" miterlimit="8" joinstyle="miter"/>
                <v:imagedata o:title=""/>
                <o:lock v:ext="edit" aspectratio="f"/>
                <v:textbox>
                  <w:txbxContent>
                    <w:p w14:paraId="4DD951F7">
                      <w:pPr>
                        <w:spacing w:line="360" w:lineRule="auto"/>
                        <w:jc w:val="center"/>
                        <w:rPr>
                          <w:rFonts w:ascii="楷体" w:hAnsi="楷体" w:eastAsia="楷体"/>
                          <w:b/>
                        </w:rPr>
                      </w:pPr>
                      <w:r>
                        <w:rPr>
                          <w:rFonts w:hint="eastAsia" w:ascii="楷体" w:hAnsi="楷体" w:eastAsia="楷体"/>
                          <w:b/>
                        </w:rPr>
                        <w:t>工业互联网标识解析体系</w:t>
                      </w:r>
                    </w:p>
                    <w:p w14:paraId="2F4D6BE7">
                      <w:pPr>
                        <w:spacing w:line="360" w:lineRule="auto"/>
                        <w:ind w:firstLine="420" w:firstLineChars="200"/>
                        <w:rPr>
                          <w:rFonts w:ascii="楷体" w:hAnsi="楷体" w:eastAsia="楷体" w:cs="Arial"/>
                          <w:color w:val="333333"/>
                          <w:shd w:val="clear" w:color="auto" w:fill="FFFFFF"/>
                        </w:rPr>
                      </w:pPr>
                      <w:r>
                        <w:rPr>
                          <w:rFonts w:hint="eastAsia" w:ascii="楷体" w:hAnsi="楷体" w:eastAsia="楷体" w:cs="Arial"/>
                          <w:color w:val="333333"/>
                          <w:shd w:val="clear" w:color="auto" w:fill="FFFFFF"/>
                        </w:rPr>
                        <w:t>工业互联网标识解析体系类似互联网领域的域名解析系统</w:t>
                      </w:r>
                      <w:r>
                        <w:rPr>
                          <w:rFonts w:ascii="楷体" w:hAnsi="楷体" w:eastAsia="楷体" w:cs="Arial"/>
                          <w:color w:val="333333"/>
                          <w:shd w:val="clear" w:color="auto" w:fill="FFFFFF"/>
                        </w:rPr>
                        <w:t>(DNS)</w:t>
                      </w:r>
                      <w:r>
                        <w:rPr>
                          <w:rFonts w:hint="eastAsia" w:ascii="楷体" w:hAnsi="楷体" w:eastAsia="楷体" w:cs="Arial"/>
                          <w:color w:val="333333"/>
                          <w:shd w:val="clear" w:color="auto" w:fill="FFFFFF"/>
                        </w:rPr>
                        <w:t>，是工业互联网网络的重要组成部分。中国工业互联网标识解析体系</w:t>
                      </w:r>
                      <w:r>
                        <w:rPr>
                          <w:rFonts w:ascii="楷体" w:hAnsi="楷体" w:eastAsia="楷体" w:cs="Arial"/>
                          <w:color w:val="333333"/>
                          <w:shd w:val="clear" w:color="auto" w:fill="FFFFFF"/>
                        </w:rPr>
                        <w:t>2018</w:t>
                      </w:r>
                      <w:r>
                        <w:rPr>
                          <w:rFonts w:hint="eastAsia" w:ascii="楷体" w:hAnsi="楷体" w:eastAsia="楷体" w:cs="Arial"/>
                          <w:color w:val="333333"/>
                          <w:shd w:val="clear" w:color="auto" w:fill="FFFFFF"/>
                        </w:rPr>
                        <w:t>年底上线运行，目前在北京、上海、广州、重庆、武汉有5个顶级节点，在贵阳和南京有2个灾备节点；二级节点</w:t>
                      </w:r>
                      <w:r>
                        <w:rPr>
                          <w:rFonts w:ascii="楷体" w:hAnsi="楷体" w:eastAsia="楷体" w:cs="Arial"/>
                          <w:color w:val="333333"/>
                          <w:shd w:val="clear" w:color="auto" w:fill="FFFFFF"/>
                        </w:rPr>
                        <w:t>60</w:t>
                      </w:r>
                      <w:r>
                        <w:rPr>
                          <w:rFonts w:hint="eastAsia" w:ascii="楷体" w:hAnsi="楷体" w:eastAsia="楷体" w:cs="Arial"/>
                          <w:color w:val="333333"/>
                          <w:shd w:val="clear" w:color="auto" w:fill="FFFFFF"/>
                        </w:rPr>
                        <w:t>个。已有</w:t>
                      </w:r>
                      <w:r>
                        <w:rPr>
                          <w:rFonts w:ascii="楷体" w:hAnsi="楷体" w:eastAsia="楷体" w:cs="Arial"/>
                          <w:color w:val="333333"/>
                          <w:shd w:val="clear" w:color="auto" w:fill="FFFFFF"/>
                        </w:rPr>
                        <w:t>3000</w:t>
                      </w:r>
                      <w:r>
                        <w:rPr>
                          <w:rFonts w:hint="eastAsia" w:ascii="楷体" w:hAnsi="楷体" w:eastAsia="楷体" w:cs="Arial"/>
                          <w:color w:val="333333"/>
                          <w:shd w:val="clear" w:color="auto" w:fill="FFFFFF"/>
                        </w:rPr>
                        <w:t>多个企业接入国家工业互联网标识解析体系中。工业互联网标识应用目前围绕三个层级发展，解决工业企业的痛点。在产品设备层面，主要解决产品溯源难的问题、产品质量管控和设备运行数据缺失等问题；在过程流程层面，主要解决系统间互通性差、企业无法决策，以及多维数据汇聚和处理能力不便等问题；在产业资源层面，主要解决标准、协同效率低和资源协同配置能力不足的问题。</w:t>
                      </w:r>
                    </w:p>
                  </w:txbxContent>
                </v:textbox>
                <w10:wrap type="square"/>
              </v:shape>
            </w:pict>
          </mc:Fallback>
        </mc:AlternateContent>
      </w:r>
      <w:r>
        <w:rPr>
          <w:rFonts w:hint="eastAsia" w:ascii="仿宋" w:hAnsi="仿宋" w:eastAsia="仿宋" w:cs="Times New Roman"/>
          <w:sz w:val="32"/>
          <w:szCs w:val="32"/>
        </w:rPr>
        <w:t>推动工业互联网建设，促进网络协同制造。鼓励和支持东风日产、中国电科、国光等具有产业链带动能力的骨干企</w:t>
      </w:r>
      <w:r>
        <w:rPr>
          <w:rFonts w:hint="eastAsia" w:ascii="仿宋_GB2312" w:hAnsi="仿宋" w:eastAsia="仿宋_GB2312" w:cs="Times New Roman"/>
          <w:sz w:val="32"/>
          <w:szCs w:val="32"/>
        </w:rPr>
        <w:t>业建设搭建网络化协同平台，推动行业生产要素和资源集聚，发展产业链上下游协同以及网络众包等研发设计新模式，开展生产全流程网络化协同示范试点。积极对接省市工业互联网数据应用服务平台，推动工业互联网数据深度应用。发挥皮具箱包和化妆品产业作为国家顶级工业互联网标识解析（广州）节点试点的示范带动作用，推动花都区标解析二级节点建设。支持东风日产龙头等企业通过产业链带动，形成全产业链运用工业互联网新技术、新模式、新业态，整体实现“上云上平台”。</w:t>
      </w:r>
    </w:p>
    <w:p w14:paraId="5E53BB0F">
      <w:pPr>
        <w:pStyle w:val="4"/>
        <w:spacing w:before="0" w:after="0" w:line="560" w:lineRule="exact"/>
        <w:ind w:firstLine="643" w:firstLineChars="200"/>
        <w:rPr>
          <w:rFonts w:ascii="仿宋_GB2312" w:hAnsi="Times New Roman" w:eastAsia="仿宋_GB2312"/>
          <w:bCs w:val="0"/>
        </w:rPr>
      </w:pPr>
      <w:bookmarkStart w:id="71" w:name="_Toc76826144"/>
      <w:r>
        <w:rPr>
          <w:rFonts w:ascii="仿宋_GB2312" w:hAnsi="Times New Roman" w:eastAsia="仿宋_GB2312"/>
          <w:bCs w:val="0"/>
        </w:rPr>
        <w:t>3</w:t>
      </w:r>
      <w:r>
        <w:rPr>
          <w:rFonts w:hint="eastAsia" w:ascii="仿宋_GB2312" w:hAnsi="Times New Roman" w:eastAsia="仿宋_GB2312"/>
          <w:bCs w:val="0"/>
        </w:rPr>
        <w:t>.加快人工智能与制造业融合发展</w:t>
      </w:r>
      <w:bookmarkEnd w:id="71"/>
    </w:p>
    <w:p w14:paraId="35574F98">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依托东风日产、东风启辰等龙头企业探索车联网发展技术路线和技术标准，结合车联网建设推出量产型智能网联汽车，大力</w:t>
      </w:r>
      <w:r>
        <w:rPr>
          <w:rFonts w:hint="eastAsia" w:ascii="仿宋_GB2312" w:hAnsi="仿宋" w:eastAsia="仿宋_GB2312" w:cs="Times New Roman"/>
          <w:sz w:val="32"/>
          <w:szCs w:val="32"/>
        </w:rPr>
        <w:t>推动</w:t>
      </w:r>
      <w:r>
        <w:rPr>
          <w:rFonts w:ascii="仿宋_GB2312" w:hAnsi="仿宋" w:eastAsia="仿宋_GB2312" w:cs="Times New Roman"/>
          <w:sz w:val="32"/>
          <w:szCs w:val="32"/>
        </w:rPr>
        <w:t>智能服务机器人、智能温感设备等智能产品</w:t>
      </w:r>
      <w:r>
        <w:rPr>
          <w:rFonts w:hint="eastAsia" w:ascii="仿宋_GB2312" w:hAnsi="仿宋" w:eastAsia="仿宋_GB2312" w:cs="Times New Roman"/>
          <w:sz w:val="32"/>
          <w:szCs w:val="32"/>
        </w:rPr>
        <w:t>应用。大力发展</w:t>
      </w:r>
      <w:r>
        <w:rPr>
          <w:rFonts w:ascii="仿宋_GB2312" w:hAnsi="仿宋" w:eastAsia="仿宋_GB2312" w:cs="Times New Roman"/>
          <w:sz w:val="32"/>
          <w:szCs w:val="32"/>
        </w:rPr>
        <w:t>VR</w:t>
      </w:r>
      <w:r>
        <w:rPr>
          <w:rFonts w:hint="eastAsia" w:ascii="仿宋_GB2312" w:hAnsi="仿宋" w:eastAsia="仿宋_GB2312" w:cs="Times New Roman"/>
          <w:sz w:val="32"/>
          <w:szCs w:val="32"/>
        </w:rPr>
        <w:t>（虚拟现实技术）、可穿戴式、沉浸式等数字内容制作设备以及影院设备、影院智能管理、影院物联网运营及立体电影等设备制造产业，推动数字文化产业装备制造发展。支持重点人工智能企业建设开源开放平台，打造基于软硬件、数据、应用等协同的新型产业生态，</w:t>
      </w:r>
      <w:r>
        <w:rPr>
          <w:rFonts w:ascii="仿宋_GB2312" w:hAnsi="仿宋" w:eastAsia="仿宋_GB2312" w:cs="Times New Roman"/>
          <w:sz w:val="32"/>
          <w:szCs w:val="32"/>
        </w:rPr>
        <w:t>助力广州建设全省智能装备产业核心区。</w:t>
      </w:r>
    </w:p>
    <w:p w14:paraId="42F20C75">
      <w:pPr>
        <w:pStyle w:val="4"/>
        <w:spacing w:before="0" w:after="0" w:line="560" w:lineRule="exact"/>
        <w:ind w:firstLine="643" w:firstLineChars="200"/>
        <w:rPr>
          <w:rFonts w:ascii="仿宋_GB2312" w:hAnsi="Times New Roman" w:eastAsia="仿宋_GB2312"/>
        </w:rPr>
      </w:pPr>
      <w:bookmarkStart w:id="72" w:name="_Toc76826145"/>
      <w:r>
        <w:rPr>
          <w:rFonts w:ascii="仿宋_GB2312" w:hAnsi="Times New Roman" w:eastAsia="仿宋_GB2312"/>
          <w:bCs w:val="0"/>
        </w:rPr>
        <w:t>4.</w:t>
      </w:r>
      <w:r>
        <w:rPr>
          <w:rFonts w:hint="eastAsia" w:ascii="仿宋_GB2312" w:hAnsi="Times New Roman" w:eastAsia="仿宋_GB2312"/>
          <w:bCs w:val="0"/>
        </w:rPr>
        <w:t>推进临空经济数字化升级</w:t>
      </w:r>
      <w:bookmarkEnd w:id="72"/>
    </w:p>
    <w:p w14:paraId="773630E7">
      <w:pPr>
        <w:spacing w:line="560" w:lineRule="exact"/>
        <w:ind w:firstLine="640" w:firstLineChars="200"/>
        <w:rPr>
          <w:rFonts w:ascii="仿宋_GB2312" w:eastAsia="仿宋_GB2312"/>
          <w:b/>
        </w:rPr>
      </w:pPr>
      <w:r>
        <w:rPr>
          <w:rFonts w:hint="eastAsia" w:ascii="仿宋_GB2312" w:hAnsi="仿宋" w:eastAsia="仿宋_GB2312" w:cs="Times New Roman"/>
          <w:sz w:val="32"/>
          <w:szCs w:val="32"/>
        </w:rPr>
        <w:t>依托新一代信息产业园，</w:t>
      </w:r>
      <w:r>
        <w:rPr>
          <w:rFonts w:ascii="仿宋_GB2312" w:hAnsi="仿宋" w:eastAsia="仿宋_GB2312" w:cs="Times New Roman"/>
          <w:sz w:val="32"/>
          <w:szCs w:val="32"/>
        </w:rPr>
        <w:t>积极</w:t>
      </w:r>
      <w:r>
        <w:rPr>
          <w:rFonts w:hint="eastAsia" w:ascii="仿宋_GB2312" w:hAnsi="仿宋" w:eastAsia="仿宋_GB2312" w:cs="Times New Roman"/>
          <w:sz w:val="32"/>
          <w:szCs w:val="32"/>
        </w:rPr>
        <w:t>引</w:t>
      </w:r>
      <w:r>
        <w:rPr>
          <w:rFonts w:ascii="仿宋_GB2312" w:hAnsi="仿宋" w:eastAsia="仿宋_GB2312" w:cs="Times New Roman"/>
          <w:sz w:val="32"/>
          <w:szCs w:val="32"/>
        </w:rPr>
        <w:t>进第三代半导体、大数据、新一代信息技术和临</w:t>
      </w:r>
      <w:r>
        <w:rPr>
          <w:rFonts w:hint="eastAsia" w:ascii="仿宋_GB2312" w:hAnsi="仿宋" w:eastAsia="仿宋_GB2312" w:cs="Times New Roman"/>
          <w:sz w:val="32"/>
          <w:szCs w:val="32"/>
        </w:rPr>
        <w:t>空经济产业龙头、上下游企业，实现产、学、研联动，吸引</w:t>
      </w:r>
      <w:r>
        <w:rPr>
          <w:rFonts w:ascii="仿宋_GB2312" w:hAnsi="仿宋" w:eastAsia="仿宋_GB2312" w:cs="Times New Roman"/>
          <w:sz w:val="32"/>
          <w:szCs w:val="32"/>
        </w:rPr>
        <w:t>设立</w:t>
      </w:r>
      <w:r>
        <w:rPr>
          <w:rFonts w:hint="eastAsia" w:ascii="仿宋_GB2312" w:hAnsi="仿宋" w:eastAsia="仿宋_GB2312" w:cs="Times New Roman"/>
          <w:sz w:val="32"/>
          <w:szCs w:val="32"/>
        </w:rPr>
        <w:t>与产业匹配的科研与技术服务平台。重点推进第三代半导体、尤特新材料等项目，鼓励企业基础设施上云、企业平台系统上云、企业业务应用上云，提升企业数字化基础能力，发展数字技术应用产业。借势广州国际航空枢纽和临空经济示范区建设，</w:t>
      </w:r>
      <w:r>
        <w:rPr>
          <w:rFonts w:ascii="仿宋_GB2312" w:hAnsi="仿宋" w:eastAsia="仿宋_GB2312" w:cs="Times New Roman"/>
          <w:sz w:val="32"/>
          <w:szCs w:val="32"/>
        </w:rPr>
        <w:t>全力推动花都临空经济主动融入动融入空经济主动</w:t>
      </w:r>
      <w:r>
        <w:rPr>
          <w:rFonts w:hint="eastAsia" w:ascii="仿宋_GB2312" w:hAnsi="仿宋" w:eastAsia="仿宋_GB2312" w:cs="Times New Roman"/>
          <w:sz w:val="32"/>
          <w:szCs w:val="32"/>
        </w:rPr>
        <w:t>积极引导、承接高端要素向花都区域集聚。</w:t>
      </w:r>
    </w:p>
    <w:p w14:paraId="0C57590B">
      <w:pPr>
        <w:pStyle w:val="3"/>
        <w:spacing w:before="0" w:after="0" w:line="560" w:lineRule="exact"/>
        <w:rPr>
          <w:rFonts w:ascii="黑体" w:hAnsi="黑体" w:eastAsia="黑体"/>
          <w:b w:val="0"/>
          <w:sz w:val="32"/>
          <w:szCs w:val="32"/>
        </w:rPr>
      </w:pPr>
      <w:bookmarkStart w:id="73" w:name="_Toc76826146"/>
      <w:r>
        <w:rPr>
          <w:rFonts w:hint="eastAsia" w:ascii="黑体" w:hAnsi="黑体" w:eastAsia="黑体"/>
          <w:b w:val="0"/>
          <w:sz w:val="32"/>
          <w:szCs w:val="32"/>
        </w:rPr>
        <w:t>六、</w:t>
      </w:r>
      <w:r>
        <w:rPr>
          <w:rFonts w:ascii="黑体" w:hAnsi="黑体" w:eastAsia="黑体"/>
          <w:b w:val="0"/>
          <w:sz w:val="32"/>
          <w:szCs w:val="32"/>
        </w:rPr>
        <w:t>优化产业空间布局</w:t>
      </w:r>
      <w:bookmarkEnd w:id="73"/>
    </w:p>
    <w:p w14:paraId="3C609E3F">
      <w:pPr>
        <w:pStyle w:val="2"/>
        <w:spacing w:before="0" w:after="0" w:line="560" w:lineRule="exact"/>
        <w:ind w:firstLine="643" w:firstLineChars="200"/>
        <w:rPr>
          <w:rFonts w:ascii="楷体_GB2312" w:hAnsi="仿宋" w:eastAsia="楷体_GB2312"/>
        </w:rPr>
      </w:pPr>
      <w:bookmarkStart w:id="74" w:name="_Toc76826147"/>
      <w:r>
        <w:rPr>
          <w:rFonts w:ascii="楷体_GB2312" w:hAnsi="仿宋" w:eastAsia="楷体_GB2312"/>
        </w:rPr>
        <w:t>（一）空间布局</w:t>
      </w:r>
      <w:bookmarkEnd w:id="74"/>
    </w:p>
    <w:p w14:paraId="17EDC76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遵循全区重点构建“一核引领、三带联动、六大功能区支撑”产业空间总体格局，立足现有产业基础和空间集聚现状，形成</w:t>
      </w:r>
      <w:r>
        <w:rPr>
          <w:rFonts w:ascii="仿宋_GB2312" w:hAnsi="Times New Roman" w:eastAsia="仿宋_GB2312"/>
          <w:sz w:val="32"/>
          <w:szCs w:val="32"/>
        </w:rPr>
        <w:t>“</w:t>
      </w:r>
      <w:r>
        <w:rPr>
          <w:rFonts w:hint="eastAsia" w:ascii="仿宋_GB2312" w:hAnsi="Times New Roman" w:eastAsia="仿宋_GB2312"/>
          <w:sz w:val="32"/>
          <w:szCs w:val="32"/>
        </w:rPr>
        <w:t>东、西、南”三大先进制造业产业带。即东部临空型制造产业带、西部智能制造产业带和南部智能电子产业带。</w:t>
      </w:r>
    </w:p>
    <w:p w14:paraId="3977AEF0">
      <w:pPr>
        <w:spacing w:line="560" w:lineRule="exact"/>
        <w:jc w:val="center"/>
        <w:rPr>
          <w:rFonts w:ascii="仿宋_GB2312" w:hAnsi="Times New Roman" w:eastAsia="仿宋_GB2312"/>
          <w:b/>
          <w:sz w:val="32"/>
          <w:szCs w:val="32"/>
        </w:rPr>
      </w:pPr>
      <w:r>
        <w:rPr>
          <w:rFonts w:ascii="仿宋_GB2312" w:hAnsi="Times New Roman" w:eastAsia="仿宋_GB2312"/>
          <w:sz w:val="32"/>
          <w:szCs w:val="32"/>
        </w:rPr>
        <w:drawing>
          <wp:anchor distT="0" distB="0" distL="114300" distR="114300" simplePos="0" relativeHeight="251659264" behindDoc="0" locked="0" layoutInCell="1" allowOverlap="1">
            <wp:simplePos x="0" y="0"/>
            <wp:positionH relativeFrom="margin">
              <wp:align>left</wp:align>
            </wp:positionH>
            <wp:positionV relativeFrom="paragraph">
              <wp:posOffset>113665</wp:posOffset>
            </wp:positionV>
            <wp:extent cx="5139055" cy="3783330"/>
            <wp:effectExtent l="9525" t="9525" r="13970" b="1714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39055" cy="3783330"/>
                    </a:xfrm>
                    <a:prstGeom prst="rect">
                      <a:avLst/>
                    </a:prstGeom>
                    <a:noFill/>
                    <a:ln>
                      <a:solidFill>
                        <a:schemeClr val="tx1"/>
                      </a:solidFill>
                    </a:ln>
                  </pic:spPr>
                </pic:pic>
              </a:graphicData>
            </a:graphic>
          </wp:anchor>
        </w:drawing>
      </w:r>
      <w:r>
        <w:rPr>
          <w:rFonts w:hint="eastAsia" w:ascii="仿宋_GB2312" w:hAnsi="Times New Roman" w:eastAsia="仿宋_GB2312"/>
          <w:b/>
          <w:sz w:val="32"/>
          <w:szCs w:val="32"/>
        </w:rPr>
        <w:t>图5</w:t>
      </w:r>
      <w:r>
        <w:rPr>
          <w:rFonts w:ascii="仿宋_GB2312" w:hAnsi="Times New Roman" w:eastAsia="仿宋_GB2312"/>
          <w:b/>
          <w:sz w:val="32"/>
          <w:szCs w:val="32"/>
        </w:rPr>
        <w:t xml:space="preserve">-1 </w:t>
      </w:r>
      <w:r>
        <w:rPr>
          <w:rFonts w:hint="eastAsia" w:ascii="仿宋_GB2312" w:hAnsi="Times New Roman" w:eastAsia="仿宋_GB2312"/>
          <w:b/>
          <w:sz w:val="32"/>
          <w:szCs w:val="32"/>
        </w:rPr>
        <w:t>花都区先进制造业空间布局</w:t>
      </w:r>
    </w:p>
    <w:p w14:paraId="65B682B6">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东部临空型制造产业带</w:t>
      </w:r>
      <w:r>
        <w:rPr>
          <w:rFonts w:hint="eastAsia" w:ascii="仿宋_GB2312" w:hAnsi="Times New Roman" w:eastAsia="仿宋_GB2312"/>
          <w:sz w:val="32"/>
          <w:szCs w:val="32"/>
        </w:rPr>
        <w:t>：以花都临空高科技产业园、花都高新科技产业园为核心，依托白云机场临空区位和交通优势，借势广州空港经济区建设，强化实施“航空枢纽+”战略，发挥新科宇航、GAMECO等龙头企业的带动作用，以国家级空港综合保税区、飞机零部件制造及维修基地、空港国际物流园区、联邦快递亚太转运中心等为载体，整合花东、花山中部等产业资源，重点发展光电产业、新一代信息技术、电子元器件、视听设备、航空制造及维修、生物医药、医疗器械、尚产业等，打造大湾区临空型制造产业基地。</w:t>
      </w:r>
    </w:p>
    <w:p w14:paraId="18207189">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西部智能制造产业带</w:t>
      </w:r>
      <w:r>
        <w:rPr>
          <w:rFonts w:hint="eastAsia" w:ascii="仿宋_GB2312" w:hAnsi="Times New Roman" w:eastAsia="仿宋_GB2312"/>
          <w:sz w:val="32"/>
          <w:szCs w:val="32"/>
        </w:rPr>
        <w:t>：以花都高新技术产业开发区、花都国际先进装备制造产业园、花都绿色产业价值园、交通装备制造产业园、赤坭中小企业园、皮革皮具产业创新园为核心，依托装备制造产业雄厚发展基础和交通优势，扶持东风日产乘用车、东风启辰、康奈可公司等龙头企业，以高端制造为特色，发挥花都汽车产业链的带动作用，大力发展新能源汽车、智能装备、轨道交通等产业；结合皮具、珠宝产业转型升级，大力发展时尚产业，打造广州北部高端制造产业基地。</w:t>
      </w:r>
    </w:p>
    <w:p w14:paraId="02E2E5B4">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南部智能电子产业带</w:t>
      </w:r>
      <w:r>
        <w:rPr>
          <w:rFonts w:hint="eastAsia" w:ascii="仿宋_GB2312" w:hAnsi="Times New Roman" w:eastAsia="仿宋_GB2312"/>
          <w:sz w:val="32"/>
          <w:szCs w:val="32"/>
        </w:rPr>
        <w:t>：以花都智能电子绿色价值创新园为核心，依托中国电科华南电子信息产业园、国光智能电子产业园和国光2025国际双创社区，以中国电科、国光电器等为龙头带动，围绕智能制造、通信网络、卫星应用和信息服务等新一代信息技术产业，打造国家级智能电子产业基地创新示范区。</w:t>
      </w:r>
    </w:p>
    <w:p w14:paraId="49AA44E5">
      <w:pPr>
        <w:pStyle w:val="2"/>
        <w:spacing w:before="0" w:after="0" w:line="560" w:lineRule="exact"/>
        <w:ind w:firstLine="643" w:firstLineChars="200"/>
        <w:rPr>
          <w:rFonts w:ascii="楷体_GB2312" w:hAnsi="仿宋" w:eastAsia="楷体_GB2312"/>
        </w:rPr>
      </w:pPr>
      <w:bookmarkStart w:id="75" w:name="_Toc76826148"/>
      <w:r>
        <w:rPr>
          <w:rFonts w:ascii="楷体_GB2312" w:hAnsi="仿宋" w:eastAsia="楷体_GB2312"/>
        </w:rPr>
        <w:t>（二）重点集群发展方向</w:t>
      </w:r>
      <w:bookmarkEnd w:id="75"/>
    </w:p>
    <w:p w14:paraId="3D8399D4">
      <w:pPr>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重点发展汽车、智能电子、临空高科技产业、绿色建筑四大战略性支柱产业集群，培育壮大新一代信息技术、新能源汽车、新材料、智能装备和机器人、生物医药五大战略性新兴产业集群。</w:t>
      </w:r>
    </w:p>
    <w:p w14:paraId="54269C18">
      <w:pPr>
        <w:spacing w:line="560" w:lineRule="exact"/>
        <w:ind w:firstLine="643" w:firstLineChars="200"/>
        <w:rPr>
          <w:rFonts w:ascii="仿宋_GB2312" w:hAnsi="仿宋" w:eastAsia="仿宋_GB2312" w:cs="Times New Roman"/>
          <w:sz w:val="32"/>
          <w:szCs w:val="32"/>
        </w:rPr>
      </w:pPr>
      <w:r>
        <w:rPr>
          <w:rFonts w:hint="eastAsia" w:ascii="仿宋_GB2312" w:hAnsi="Times New Roman" w:eastAsia="仿宋_GB2312"/>
          <w:b/>
          <w:sz w:val="32"/>
          <w:szCs w:val="32"/>
        </w:rPr>
        <w:t>汽车产业集群。</w:t>
      </w:r>
      <w:r>
        <w:rPr>
          <w:rFonts w:hint="eastAsia" w:ascii="仿宋_GB2312" w:hAnsi="Times New Roman" w:eastAsia="仿宋_GB2312"/>
          <w:sz w:val="32"/>
          <w:szCs w:val="32"/>
        </w:rPr>
        <w:t>依托花都高新技术产业开发区、花都国际先进装</w:t>
      </w:r>
      <w:r>
        <w:rPr>
          <w:rFonts w:hint="eastAsia" w:ascii="仿宋_GB2312" w:hAnsi="仿宋" w:eastAsia="仿宋_GB2312" w:cs="Times New Roman"/>
          <w:sz w:val="32"/>
          <w:szCs w:val="32"/>
        </w:rPr>
        <w:t>备制造产业园，加快发展新能源汽车、汽车电子、智能网联、共享汽车，推进建链强链补链延链，打造西部“两千亿级汽车产业集群”。大力扶持东风日产、东风启辰等龙头企业新一轮发展，做强发动机项目、研发中心，重点支持东风日产新能源车项目发展，加快新能源汽车关键零部件项目集聚，积极引进智能网联汽车核心资源，加快建设智能网联汽车与智慧交通示范区。</w:t>
      </w:r>
    </w:p>
    <w:p w14:paraId="2B6DFF80">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智能电子产业集群</w:t>
      </w:r>
      <w:r>
        <w:rPr>
          <w:rFonts w:hint="eastAsia" w:ascii="仿宋_GB2312" w:hAnsi="仿宋" w:eastAsia="仿宋_GB2312" w:cs="Times New Roman"/>
          <w:sz w:val="32"/>
          <w:szCs w:val="32"/>
        </w:rPr>
        <w:t>。依托中电科华南电子信息产业园、国光2025国际双创社区，打造南部“千亿级智能电子产业集群”。加快中电科华南电子产业园建设，集聚发展新一代信息技术产业，引进、培育一批智能电子骨干企业。</w:t>
      </w:r>
    </w:p>
    <w:p w14:paraId="22271F38">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临空高科技产业集群</w:t>
      </w:r>
      <w:r>
        <w:rPr>
          <w:rFonts w:hint="eastAsia" w:ascii="仿宋_GB2312" w:hAnsi="仿宋" w:eastAsia="仿宋_GB2312" w:cs="Times New Roman"/>
          <w:sz w:val="32"/>
          <w:szCs w:val="32"/>
        </w:rPr>
        <w:t>。以花都临空高科技产业园、花都高新科技产业园为核心，打造东部“千亿级临空高科技产业集群”。积极发展飞机维修、飞机改装、航材生产、机载设备制造等航空制造业，支持GAMECO、新科宇航拓展客改货业务。</w:t>
      </w:r>
    </w:p>
    <w:p w14:paraId="409D369C">
      <w:pPr>
        <w:spacing w:line="560" w:lineRule="exact"/>
        <w:ind w:firstLine="643" w:firstLineChars="200"/>
        <w:rPr>
          <w:rFonts w:ascii="仿宋_GB2312" w:hAnsi="仿宋" w:eastAsia="仿宋_GB2312" w:cs="Times New Roman"/>
          <w:sz w:val="32"/>
          <w:szCs w:val="32"/>
        </w:rPr>
      </w:pPr>
      <w:r>
        <w:rPr>
          <w:rFonts w:ascii="仿宋_GB2312" w:hAnsi="仿宋" w:eastAsia="仿宋_GB2312" w:cs="Times New Roman"/>
          <w:b/>
          <w:sz w:val="32"/>
          <w:szCs w:val="32"/>
        </w:rPr>
        <w:t>绿色建筑产业集群。</w:t>
      </w:r>
      <w:r>
        <w:rPr>
          <w:rFonts w:ascii="仿宋_GB2312" w:hAnsi="仿宋" w:eastAsia="仿宋_GB2312" w:cs="Times New Roman"/>
          <w:sz w:val="32"/>
          <w:szCs w:val="32"/>
        </w:rPr>
        <w:t>依托</w:t>
      </w:r>
      <w:r>
        <w:rPr>
          <w:rFonts w:hint="eastAsia" w:ascii="仿宋_GB2312" w:hAnsi="仿宋" w:eastAsia="仿宋_GB2312" w:cs="Times New Roman"/>
          <w:sz w:val="32"/>
          <w:szCs w:val="32"/>
        </w:rPr>
        <w:t>大湾区绿色建筑建材产业园</w:t>
      </w:r>
      <w:r>
        <w:rPr>
          <w:rFonts w:ascii="仿宋_GB2312" w:hAnsi="仿宋" w:eastAsia="仿宋_GB2312" w:cs="Times New Roman"/>
          <w:sz w:val="32"/>
          <w:szCs w:val="32"/>
        </w:rPr>
        <w:t>，重点发展绿色建筑、绿色新型建材制造、装配式建筑等，加快</w:t>
      </w:r>
      <w:r>
        <w:rPr>
          <w:rFonts w:hint="eastAsia" w:ascii="仿宋_GB2312" w:hAnsi="仿宋" w:eastAsia="仿宋_GB2312" w:cs="Times New Roman"/>
          <w:sz w:val="32"/>
          <w:szCs w:val="32"/>
        </w:rPr>
        <w:t>培育涵盖绿色建筑设计咨询、节能改造、建筑工业化、可再生能源建筑应用、建筑废弃物综合利用等环节和领域的绿色建筑产业链，打造“千亿级绿色建筑产业集群”。</w:t>
      </w:r>
    </w:p>
    <w:p w14:paraId="581828BF">
      <w:pPr>
        <w:spacing w:line="560" w:lineRule="exact"/>
        <w:ind w:firstLine="643" w:firstLineChars="200"/>
        <w:rPr>
          <w:rFonts w:ascii="仿宋_GB2312" w:hAnsi="仿宋" w:eastAsia="仿宋_GB2312" w:cs="Times New Roman"/>
          <w:b/>
          <w:sz w:val="32"/>
          <w:szCs w:val="32"/>
        </w:rPr>
      </w:pPr>
      <w:r>
        <w:rPr>
          <w:rFonts w:hint="eastAsia" w:ascii="仿宋_GB2312" w:hAnsi="仿宋" w:eastAsia="仿宋_GB2312" w:cs="Times New Roman"/>
          <w:b/>
          <w:sz w:val="32"/>
          <w:szCs w:val="32"/>
        </w:rPr>
        <w:t>新一代信息技术产业集群。</w:t>
      </w:r>
      <w:r>
        <w:rPr>
          <w:rFonts w:hint="eastAsia" w:ascii="仿宋_GB2312" w:hAnsi="仿宋" w:eastAsia="仿宋_GB2312" w:cs="Times New Roman"/>
          <w:sz w:val="32"/>
          <w:szCs w:val="32"/>
        </w:rPr>
        <w:t>以中电科华南信息产业园为载体，发展以集成电路、通信网络、新型显示、新型元器件、空间信息应用、智慧应用为主的新一代信息技术产业。围绕电子政务、金融、医疗、智能制造、电商服务等产业需求，加强云计算、大数据技术的推广应用，加强信息基础设施建设，构建人工智能创新服务体系。</w:t>
      </w:r>
    </w:p>
    <w:p w14:paraId="79FF350C">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新能源和智能网联汽车产业集群。</w:t>
      </w:r>
      <w:r>
        <w:rPr>
          <w:rFonts w:hint="eastAsia" w:ascii="仿宋_GB2312" w:hAnsi="仿宋" w:eastAsia="仿宋_GB2312" w:cs="Times New Roman"/>
          <w:sz w:val="32"/>
          <w:szCs w:val="32"/>
        </w:rPr>
        <w:t>依托花都高新技术产业开发区、花都国际先进装备制造产业园，加快推动新能源汽车的整车、动力电池、燃料电池、电机、电驱动系统以及插电式混动式汽车的研发和产业化，提升电池管理和智能交互技术、环境感知和自动驾驶技术等的研发和应用。提升整车系统集成及智能、低碳、轻量、便捷等创新能力，着力完善新能源汽车产业链的核心环节，促进整车制造国产化、智能化。进一步完善充电设施网络布局，加快推动充电站、充电桩等基础设施建设。加快建设智能网联汽车与智慧交通示范区，以智能网联试车场为基地，围绕智能网感知系统、决策系统、执行系统、通信系统、智能驾驶、出行服务、物流服务、数据增值等进行全产业链招商，打造智能网联汽车生态体系。</w:t>
      </w:r>
    </w:p>
    <w:p w14:paraId="7636A9A9">
      <w:pPr>
        <w:spacing w:line="560" w:lineRule="exact"/>
        <w:ind w:firstLine="643" w:firstLineChars="200"/>
        <w:rPr>
          <w:rFonts w:ascii="仿宋_GB2312" w:hAnsi="仿宋" w:eastAsia="仿宋_GB2312" w:cs="Times New Roman"/>
          <w:b/>
          <w:sz w:val="32"/>
          <w:szCs w:val="32"/>
        </w:rPr>
      </w:pPr>
      <w:r>
        <w:rPr>
          <w:rFonts w:hint="eastAsia" w:ascii="仿宋_GB2312" w:hAnsi="仿宋" w:eastAsia="仿宋_GB2312" w:cs="Times New Roman"/>
          <w:b/>
          <w:sz w:val="32"/>
          <w:szCs w:val="32"/>
        </w:rPr>
        <w:t>新材料产业集群。</w:t>
      </w:r>
      <w:r>
        <w:rPr>
          <w:rFonts w:hint="eastAsia" w:ascii="仿宋_GB2312" w:hAnsi="仿宋" w:eastAsia="仿宋_GB2312" w:cs="Times New Roman"/>
          <w:sz w:val="32"/>
          <w:szCs w:val="32"/>
        </w:rPr>
        <w:t>依托北科大广州新材料产业园，围绕汽车及重大装备、航空修造、电子信息、生物医药、时尚产业等产业发展的需求，积极培育新型光电信息材料，生物医用材料、新能源材料、航空航天材料、环保节能建材等新兴材料产业，延伸产业链。以企业为主体，积极转化高校重大科技成果，高性能PAN基碳纤维、有机发光材料(OLED)与器件、纳米冷阴极场致发光(FED)材料与器件等的工程化关键技术，逐步实现产业化和商品化。</w:t>
      </w:r>
    </w:p>
    <w:p w14:paraId="0E94442F">
      <w:pPr>
        <w:spacing w:line="560" w:lineRule="exact"/>
        <w:ind w:firstLine="643" w:firstLineChars="200"/>
        <w:rPr>
          <w:rFonts w:ascii="仿宋_GB2312" w:hAnsi="仿宋" w:eastAsia="仿宋_GB2312" w:cs="Times New Roman"/>
          <w:sz w:val="32"/>
          <w:szCs w:val="32"/>
        </w:rPr>
      </w:pPr>
      <w:r>
        <w:rPr>
          <w:rFonts w:hint="eastAsia" w:ascii="仿宋_GB2312" w:hAnsi="仿宋" w:eastAsia="仿宋_GB2312" w:cs="Times New Roman"/>
          <w:b/>
          <w:sz w:val="32"/>
          <w:szCs w:val="32"/>
        </w:rPr>
        <w:t>智能装备和机器人产业集群。</w:t>
      </w:r>
      <w:r>
        <w:rPr>
          <w:rFonts w:hint="eastAsia" w:ascii="仿宋_GB2312" w:hAnsi="仿宋" w:eastAsia="仿宋_GB2312" w:cs="Times New Roman"/>
          <w:sz w:val="32"/>
          <w:szCs w:val="32"/>
        </w:rPr>
        <w:t>依托国际先进制造产业园、智能电子绿色价值创新园和交通装备制造产业园等园区，培育发展高端医疗器械、新能源核心部件、智能装备制造、智能制造成套装备生产、智能测控装置与部件生产、配套机械加工、工业机器人等产业环节，争取在高端传感器、高端控制系统、核心工业软件等领域取得突破。大力引进循环链长、关联度高、带动性强的企业和项目，构建完善产业链，打造广州智能装备制造产业示范基地。</w:t>
      </w:r>
    </w:p>
    <w:p w14:paraId="5979BA73">
      <w:pPr>
        <w:spacing w:line="560" w:lineRule="exact"/>
        <w:ind w:firstLine="643" w:firstLineChars="200"/>
        <w:jc w:val="left"/>
        <w:rPr>
          <w:rFonts w:ascii="仿宋_GB2312" w:hAnsi="仿宋" w:eastAsia="仿宋_GB2312" w:cs="Times New Roman"/>
          <w:snapToGrid w:val="0"/>
          <w:kern w:val="0"/>
          <w:sz w:val="32"/>
          <w:szCs w:val="32"/>
        </w:rPr>
      </w:pPr>
      <w:r>
        <w:rPr>
          <w:rFonts w:hint="eastAsia" w:ascii="仿宋_GB2312" w:hAnsi="仿宋" w:eastAsia="仿宋_GB2312" w:cs="Times New Roman"/>
          <w:b/>
          <w:sz w:val="32"/>
          <w:szCs w:val="32"/>
        </w:rPr>
        <w:t>生物医药产业集群。</w:t>
      </w:r>
      <w:r>
        <w:rPr>
          <w:rFonts w:hint="eastAsia" w:ascii="仿宋_GB2312" w:hAnsi="仿宋" w:eastAsia="仿宋_GB2312" w:cs="Times New Roman"/>
          <w:sz w:val="32"/>
          <w:szCs w:val="32"/>
        </w:rPr>
        <w:t>依托</w:t>
      </w:r>
      <w:r>
        <w:rPr>
          <w:rFonts w:hint="eastAsia" w:ascii="仿宋_GB2312" w:hAnsi="仿宋_GB2312" w:eastAsia="仿宋_GB2312" w:cs="仿宋_GB2312"/>
          <w:color w:val="000000"/>
          <w:sz w:val="32"/>
          <w:szCs w:val="32"/>
        </w:rPr>
        <w:t>花都临空高科技产业园、花都高新技术产业园等载体，</w:t>
      </w:r>
      <w:r>
        <w:rPr>
          <w:rFonts w:hint="eastAsia" w:ascii="仿宋_GB2312" w:hAnsi="仿宋" w:eastAsia="仿宋_GB2312" w:cs="Times New Roman"/>
          <w:snapToGrid w:val="0"/>
          <w:kern w:val="0"/>
          <w:sz w:val="32"/>
          <w:szCs w:val="32"/>
        </w:rPr>
        <w:t>大力发展用于重大疾病尤其是南方常见病防治的生物技术药物、新型疫苗、化学药物和现代中药等创新药物大品种；加快发展细胞工程、基因测序和生物芯片等生物医学工程相关产业；大力推进精准医疗、远程医疗等医疗信息化产业发展；重点引进国际国内领先的生物医药龙头企业落户我区，依托航空枢纽发展高端生物医药销售和物流配送体系，打造新一代生物医药制造及中药试验区。</w:t>
      </w:r>
    </w:p>
    <w:p w14:paraId="2E3814AF">
      <w:pPr>
        <w:spacing w:line="560" w:lineRule="exact"/>
        <w:jc w:val="center"/>
        <w:rPr>
          <w:rFonts w:ascii="仿宋_GB2312" w:hAnsi="仿宋" w:eastAsia="仿宋_GB2312" w:cs="Times New Roman"/>
          <w:b/>
          <w:sz w:val="32"/>
          <w:szCs w:val="32"/>
        </w:rPr>
      </w:pPr>
      <w:r>
        <w:rPr>
          <w:rFonts w:hint="eastAsia" w:ascii="仿宋_GB2312" w:hAnsi="仿宋" w:eastAsia="仿宋_GB2312" w:cs="Times New Roman"/>
          <w:b/>
          <w:sz w:val="32"/>
          <w:szCs w:val="32"/>
        </w:rPr>
        <w:t>表</w:t>
      </w:r>
      <w:r>
        <w:rPr>
          <w:rFonts w:ascii="仿宋_GB2312" w:hAnsi="仿宋" w:eastAsia="仿宋_GB2312" w:cs="Times New Roman"/>
          <w:b/>
          <w:sz w:val="32"/>
          <w:szCs w:val="32"/>
        </w:rPr>
        <w:t>5-1 花都区制造业集群及其发展方向</w:t>
      </w:r>
    </w:p>
    <w:tbl>
      <w:tblPr>
        <w:tblStyle w:val="10"/>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668"/>
        <w:gridCol w:w="2355"/>
        <w:gridCol w:w="3023"/>
      </w:tblGrid>
      <w:tr w14:paraId="5755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060" w:type="dxa"/>
          </w:tcPr>
          <w:p w14:paraId="4C17136A">
            <w:pPr>
              <w:jc w:val="center"/>
              <w:rPr>
                <w:rFonts w:ascii="仿宋" w:hAnsi="仿宋" w:eastAsia="仿宋"/>
                <w:b/>
                <w:sz w:val="24"/>
                <w:szCs w:val="24"/>
              </w:rPr>
            </w:pPr>
            <w:r>
              <w:rPr>
                <w:rFonts w:ascii="仿宋" w:hAnsi="仿宋" w:eastAsia="仿宋"/>
                <w:b/>
                <w:sz w:val="24"/>
                <w:szCs w:val="24"/>
              </w:rPr>
              <w:t>集群</w:t>
            </w:r>
          </w:p>
        </w:tc>
        <w:tc>
          <w:tcPr>
            <w:tcW w:w="1668" w:type="dxa"/>
          </w:tcPr>
          <w:p w14:paraId="449B51DE">
            <w:pPr>
              <w:jc w:val="center"/>
              <w:rPr>
                <w:rFonts w:ascii="仿宋" w:hAnsi="仿宋" w:eastAsia="仿宋"/>
                <w:b/>
                <w:sz w:val="24"/>
                <w:szCs w:val="24"/>
              </w:rPr>
            </w:pPr>
            <w:r>
              <w:rPr>
                <w:rFonts w:hint="eastAsia" w:ascii="仿宋" w:hAnsi="仿宋" w:eastAsia="仿宋"/>
                <w:b/>
                <w:sz w:val="24"/>
                <w:szCs w:val="24"/>
              </w:rPr>
              <w:t>所属产业带</w:t>
            </w:r>
          </w:p>
        </w:tc>
        <w:tc>
          <w:tcPr>
            <w:tcW w:w="2355" w:type="dxa"/>
          </w:tcPr>
          <w:p w14:paraId="271E82AB">
            <w:pPr>
              <w:jc w:val="center"/>
              <w:rPr>
                <w:rFonts w:ascii="仿宋" w:hAnsi="仿宋" w:eastAsia="仿宋"/>
                <w:b/>
                <w:sz w:val="24"/>
                <w:szCs w:val="24"/>
              </w:rPr>
            </w:pPr>
            <w:r>
              <w:rPr>
                <w:rFonts w:hint="eastAsia" w:ascii="仿宋" w:hAnsi="仿宋" w:eastAsia="仿宋"/>
                <w:b/>
                <w:sz w:val="24"/>
                <w:szCs w:val="24"/>
              </w:rPr>
              <w:t>核心园区</w:t>
            </w:r>
          </w:p>
        </w:tc>
        <w:tc>
          <w:tcPr>
            <w:tcW w:w="3023" w:type="dxa"/>
          </w:tcPr>
          <w:p w14:paraId="4F0C8A9D">
            <w:pPr>
              <w:jc w:val="center"/>
              <w:rPr>
                <w:rFonts w:ascii="仿宋" w:hAnsi="仿宋" w:eastAsia="仿宋"/>
                <w:b/>
                <w:sz w:val="24"/>
                <w:szCs w:val="24"/>
              </w:rPr>
            </w:pPr>
            <w:r>
              <w:rPr>
                <w:rFonts w:hint="eastAsia" w:ascii="仿宋" w:hAnsi="仿宋" w:eastAsia="仿宋"/>
                <w:b/>
                <w:sz w:val="24"/>
                <w:szCs w:val="24"/>
              </w:rPr>
              <w:t>发展方向</w:t>
            </w:r>
          </w:p>
        </w:tc>
      </w:tr>
      <w:tr w14:paraId="5E90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060" w:type="dxa"/>
          </w:tcPr>
          <w:p w14:paraId="12B154A6">
            <w:pPr>
              <w:jc w:val="left"/>
              <w:rPr>
                <w:rFonts w:ascii="仿宋" w:hAnsi="仿宋" w:eastAsia="仿宋"/>
                <w:sz w:val="24"/>
                <w:szCs w:val="24"/>
              </w:rPr>
            </w:pPr>
            <w:r>
              <w:rPr>
                <w:rFonts w:hint="eastAsia" w:ascii="仿宋" w:hAnsi="仿宋" w:eastAsia="仿宋"/>
                <w:sz w:val="24"/>
                <w:szCs w:val="24"/>
              </w:rPr>
              <w:t>汽车产业集群</w:t>
            </w:r>
          </w:p>
        </w:tc>
        <w:tc>
          <w:tcPr>
            <w:tcW w:w="1668" w:type="dxa"/>
          </w:tcPr>
          <w:p w14:paraId="2FC6B768">
            <w:pPr>
              <w:rPr>
                <w:rFonts w:ascii="仿宋" w:hAnsi="仿宋" w:eastAsia="仿宋"/>
                <w:sz w:val="24"/>
                <w:szCs w:val="24"/>
              </w:rPr>
            </w:pPr>
            <w:r>
              <w:rPr>
                <w:rFonts w:hint="eastAsia" w:ascii="仿宋" w:hAnsi="仿宋" w:eastAsia="仿宋"/>
                <w:sz w:val="24"/>
                <w:szCs w:val="24"/>
              </w:rPr>
              <w:t>西部先进制造业产业带</w:t>
            </w:r>
          </w:p>
        </w:tc>
        <w:tc>
          <w:tcPr>
            <w:tcW w:w="2355" w:type="dxa"/>
          </w:tcPr>
          <w:p w14:paraId="1BA8813A">
            <w:pPr>
              <w:rPr>
                <w:rFonts w:ascii="仿宋" w:hAnsi="仿宋" w:eastAsia="仿宋"/>
                <w:sz w:val="24"/>
                <w:szCs w:val="24"/>
              </w:rPr>
            </w:pPr>
            <w:r>
              <w:rPr>
                <w:rFonts w:hint="eastAsia" w:ascii="仿宋" w:hAnsi="仿宋" w:eastAsia="仿宋"/>
                <w:sz w:val="24"/>
                <w:szCs w:val="24"/>
              </w:rPr>
              <w:t>花都高新技术产业开发区、</w:t>
            </w:r>
          </w:p>
          <w:p w14:paraId="330D1B20">
            <w:pPr>
              <w:rPr>
                <w:rFonts w:ascii="仿宋" w:hAnsi="仿宋" w:eastAsia="仿宋"/>
                <w:sz w:val="24"/>
                <w:szCs w:val="24"/>
              </w:rPr>
            </w:pPr>
            <w:r>
              <w:rPr>
                <w:rFonts w:hint="eastAsia" w:ascii="仿宋" w:hAnsi="仿宋" w:eastAsia="仿宋"/>
                <w:sz w:val="24"/>
                <w:szCs w:val="24"/>
              </w:rPr>
              <w:t>花都国际先进装备制造产业园</w:t>
            </w:r>
          </w:p>
        </w:tc>
        <w:tc>
          <w:tcPr>
            <w:tcW w:w="3023" w:type="dxa"/>
          </w:tcPr>
          <w:p w14:paraId="16A7D9EE">
            <w:pPr>
              <w:rPr>
                <w:rFonts w:ascii="仿宋" w:hAnsi="仿宋" w:eastAsia="仿宋"/>
                <w:sz w:val="24"/>
                <w:szCs w:val="24"/>
              </w:rPr>
            </w:pPr>
            <w:r>
              <w:rPr>
                <w:rFonts w:hint="eastAsia" w:ascii="仿宋" w:hAnsi="仿宋" w:eastAsia="仿宋"/>
                <w:sz w:val="24"/>
                <w:szCs w:val="24"/>
              </w:rPr>
              <w:t>汽车整车制造、高端汽车零部件制造、汽车电子等</w:t>
            </w:r>
          </w:p>
          <w:p w14:paraId="77CA5719">
            <w:pPr>
              <w:rPr>
                <w:rFonts w:ascii="仿宋" w:hAnsi="仿宋" w:eastAsia="仿宋"/>
                <w:sz w:val="24"/>
                <w:szCs w:val="24"/>
              </w:rPr>
            </w:pPr>
          </w:p>
        </w:tc>
      </w:tr>
      <w:tr w14:paraId="36E3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60" w:type="dxa"/>
          </w:tcPr>
          <w:p w14:paraId="4B7ACBD9">
            <w:pPr>
              <w:jc w:val="left"/>
              <w:rPr>
                <w:rFonts w:ascii="仿宋" w:hAnsi="仿宋" w:eastAsia="仿宋"/>
                <w:sz w:val="24"/>
                <w:szCs w:val="24"/>
              </w:rPr>
            </w:pPr>
            <w:r>
              <w:rPr>
                <w:rFonts w:hint="eastAsia" w:ascii="仿宋" w:hAnsi="仿宋" w:eastAsia="仿宋" w:cs="Times New Roman"/>
                <w:sz w:val="24"/>
                <w:szCs w:val="24"/>
              </w:rPr>
              <w:t>智能电子产业集群</w:t>
            </w:r>
          </w:p>
        </w:tc>
        <w:tc>
          <w:tcPr>
            <w:tcW w:w="1668" w:type="dxa"/>
          </w:tcPr>
          <w:p w14:paraId="48D4ED54">
            <w:pPr>
              <w:rPr>
                <w:rFonts w:ascii="仿宋" w:hAnsi="仿宋" w:eastAsia="仿宋"/>
                <w:sz w:val="24"/>
                <w:szCs w:val="24"/>
              </w:rPr>
            </w:pPr>
            <w:r>
              <w:rPr>
                <w:rFonts w:hint="eastAsia" w:ascii="仿宋" w:hAnsi="仿宋" w:eastAsia="仿宋"/>
                <w:sz w:val="24"/>
                <w:szCs w:val="24"/>
              </w:rPr>
              <w:t>南部智能电子产业带</w:t>
            </w:r>
          </w:p>
        </w:tc>
        <w:tc>
          <w:tcPr>
            <w:tcW w:w="2355" w:type="dxa"/>
          </w:tcPr>
          <w:p w14:paraId="368ADF5B">
            <w:pPr>
              <w:rPr>
                <w:rFonts w:ascii="仿宋" w:hAnsi="仿宋" w:eastAsia="仿宋"/>
                <w:sz w:val="24"/>
                <w:szCs w:val="24"/>
              </w:rPr>
            </w:pPr>
            <w:r>
              <w:rPr>
                <w:rFonts w:hint="eastAsia" w:ascii="仿宋" w:hAnsi="仿宋" w:eastAsia="仿宋"/>
                <w:sz w:val="24"/>
                <w:szCs w:val="24"/>
              </w:rPr>
              <w:t>中电科华南电子信息产业园、</w:t>
            </w:r>
          </w:p>
          <w:p w14:paraId="1B4EDDD4">
            <w:pPr>
              <w:rPr>
                <w:rFonts w:ascii="仿宋" w:hAnsi="仿宋" w:eastAsia="仿宋"/>
                <w:sz w:val="24"/>
                <w:szCs w:val="24"/>
              </w:rPr>
            </w:pPr>
            <w:r>
              <w:rPr>
                <w:rFonts w:hint="eastAsia" w:ascii="仿宋" w:hAnsi="仿宋" w:eastAsia="仿宋"/>
                <w:sz w:val="24"/>
                <w:szCs w:val="24"/>
              </w:rPr>
              <w:t>国光2025国际双创社区</w:t>
            </w:r>
          </w:p>
        </w:tc>
        <w:tc>
          <w:tcPr>
            <w:tcW w:w="3023" w:type="dxa"/>
          </w:tcPr>
          <w:p w14:paraId="01370DF4">
            <w:pPr>
              <w:rPr>
                <w:rFonts w:ascii="仿宋" w:hAnsi="仿宋" w:eastAsia="仿宋"/>
                <w:sz w:val="24"/>
                <w:szCs w:val="24"/>
              </w:rPr>
            </w:pPr>
            <w:r>
              <w:rPr>
                <w:rFonts w:hint="eastAsia" w:ascii="仿宋" w:hAnsi="仿宋" w:eastAsia="仿宋"/>
                <w:sz w:val="24"/>
                <w:szCs w:val="24"/>
              </w:rPr>
              <w:t>新一代信息技术、人工智能、新型显示</w:t>
            </w:r>
          </w:p>
        </w:tc>
      </w:tr>
      <w:tr w14:paraId="1547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60" w:type="dxa"/>
          </w:tcPr>
          <w:p w14:paraId="680A3D30">
            <w:pPr>
              <w:jc w:val="left"/>
              <w:rPr>
                <w:rFonts w:ascii="仿宋" w:hAnsi="仿宋" w:eastAsia="仿宋" w:cs="Times New Roman"/>
                <w:sz w:val="24"/>
                <w:szCs w:val="24"/>
              </w:rPr>
            </w:pPr>
            <w:r>
              <w:rPr>
                <w:rFonts w:hint="eastAsia" w:ascii="仿宋" w:hAnsi="仿宋" w:eastAsia="仿宋" w:cs="Times New Roman"/>
                <w:sz w:val="24"/>
                <w:szCs w:val="24"/>
              </w:rPr>
              <w:t>临空高科技产业集群</w:t>
            </w:r>
          </w:p>
          <w:p w14:paraId="53B5E83B">
            <w:pPr>
              <w:jc w:val="left"/>
              <w:rPr>
                <w:rFonts w:ascii="仿宋" w:hAnsi="仿宋" w:eastAsia="仿宋"/>
                <w:sz w:val="24"/>
                <w:szCs w:val="24"/>
              </w:rPr>
            </w:pPr>
          </w:p>
        </w:tc>
        <w:tc>
          <w:tcPr>
            <w:tcW w:w="1668" w:type="dxa"/>
          </w:tcPr>
          <w:p w14:paraId="725DDDD6">
            <w:pPr>
              <w:rPr>
                <w:rFonts w:ascii="仿宋" w:hAnsi="仿宋" w:eastAsia="仿宋"/>
                <w:sz w:val="24"/>
                <w:szCs w:val="24"/>
              </w:rPr>
            </w:pPr>
            <w:r>
              <w:rPr>
                <w:rFonts w:hint="eastAsia" w:ascii="仿宋" w:hAnsi="仿宋" w:eastAsia="仿宋"/>
                <w:sz w:val="24"/>
                <w:szCs w:val="24"/>
              </w:rPr>
              <w:t>东部临空型制造产业带</w:t>
            </w:r>
          </w:p>
        </w:tc>
        <w:tc>
          <w:tcPr>
            <w:tcW w:w="2355" w:type="dxa"/>
          </w:tcPr>
          <w:p w14:paraId="391C9D5D">
            <w:pPr>
              <w:rPr>
                <w:rFonts w:ascii="仿宋" w:hAnsi="仿宋" w:eastAsia="仿宋"/>
                <w:sz w:val="24"/>
                <w:szCs w:val="24"/>
              </w:rPr>
            </w:pPr>
            <w:r>
              <w:rPr>
                <w:rFonts w:hint="eastAsia" w:ascii="仿宋" w:hAnsi="仿宋" w:eastAsia="仿宋"/>
                <w:sz w:val="24"/>
                <w:szCs w:val="24"/>
              </w:rPr>
              <w:t>花都临空高科技产业园、</w:t>
            </w:r>
          </w:p>
          <w:p w14:paraId="30E54122">
            <w:pPr>
              <w:rPr>
                <w:rFonts w:ascii="仿宋" w:hAnsi="仿宋" w:eastAsia="仿宋"/>
                <w:sz w:val="24"/>
                <w:szCs w:val="24"/>
              </w:rPr>
            </w:pPr>
            <w:r>
              <w:rPr>
                <w:rFonts w:hint="eastAsia" w:ascii="仿宋" w:hAnsi="仿宋" w:eastAsia="仿宋"/>
                <w:sz w:val="24"/>
                <w:szCs w:val="24"/>
              </w:rPr>
              <w:t>花都高新技术产业园</w:t>
            </w:r>
          </w:p>
        </w:tc>
        <w:tc>
          <w:tcPr>
            <w:tcW w:w="3023" w:type="dxa"/>
          </w:tcPr>
          <w:p w14:paraId="0AE76129">
            <w:pPr>
              <w:rPr>
                <w:rFonts w:ascii="仿宋" w:hAnsi="仿宋" w:eastAsia="仿宋"/>
                <w:sz w:val="24"/>
                <w:szCs w:val="24"/>
              </w:rPr>
            </w:pPr>
            <w:r>
              <w:rPr>
                <w:rFonts w:hint="eastAsia" w:ascii="仿宋" w:hAnsi="仿宋" w:eastAsia="仿宋"/>
                <w:sz w:val="24"/>
                <w:szCs w:val="24"/>
              </w:rPr>
              <w:t>飞机维修、飞机改装、航材生产、机载设备制造</w:t>
            </w:r>
          </w:p>
        </w:tc>
      </w:tr>
      <w:tr w14:paraId="2DFB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60" w:type="dxa"/>
          </w:tcPr>
          <w:p w14:paraId="6919206A">
            <w:pPr>
              <w:jc w:val="left"/>
              <w:rPr>
                <w:rFonts w:ascii="仿宋" w:hAnsi="仿宋" w:eastAsia="仿宋" w:cs="Times New Roman"/>
                <w:sz w:val="24"/>
                <w:szCs w:val="24"/>
              </w:rPr>
            </w:pPr>
            <w:r>
              <w:rPr>
                <w:rFonts w:hint="eastAsia" w:ascii="仿宋" w:hAnsi="仿宋" w:eastAsia="仿宋" w:cs="Times New Roman"/>
                <w:sz w:val="24"/>
                <w:szCs w:val="24"/>
              </w:rPr>
              <w:t>绿色建筑产业集群</w:t>
            </w:r>
          </w:p>
        </w:tc>
        <w:tc>
          <w:tcPr>
            <w:tcW w:w="1668" w:type="dxa"/>
          </w:tcPr>
          <w:p w14:paraId="204523FE">
            <w:pPr>
              <w:rPr>
                <w:rFonts w:ascii="仿宋" w:hAnsi="仿宋" w:eastAsia="仿宋"/>
                <w:sz w:val="24"/>
                <w:szCs w:val="24"/>
              </w:rPr>
            </w:pPr>
            <w:r>
              <w:rPr>
                <w:rFonts w:hint="eastAsia" w:ascii="仿宋" w:hAnsi="仿宋" w:eastAsia="仿宋"/>
                <w:sz w:val="24"/>
                <w:szCs w:val="24"/>
              </w:rPr>
              <w:t>西部先进制造业产业带</w:t>
            </w:r>
          </w:p>
        </w:tc>
        <w:tc>
          <w:tcPr>
            <w:tcW w:w="2355" w:type="dxa"/>
          </w:tcPr>
          <w:p w14:paraId="14BDA423">
            <w:pPr>
              <w:rPr>
                <w:rFonts w:ascii="仿宋" w:hAnsi="仿宋" w:eastAsia="仿宋"/>
                <w:sz w:val="24"/>
                <w:szCs w:val="24"/>
              </w:rPr>
            </w:pPr>
            <w:r>
              <w:rPr>
                <w:rFonts w:hint="eastAsia" w:ascii="仿宋" w:hAnsi="仿宋" w:eastAsia="仿宋"/>
                <w:sz w:val="24"/>
                <w:szCs w:val="24"/>
              </w:rPr>
              <w:t>大湾区绿色建筑建材产业园</w:t>
            </w:r>
          </w:p>
        </w:tc>
        <w:tc>
          <w:tcPr>
            <w:tcW w:w="3023" w:type="dxa"/>
          </w:tcPr>
          <w:p w14:paraId="6059AEA3">
            <w:pPr>
              <w:rPr>
                <w:rFonts w:ascii="仿宋" w:hAnsi="仿宋" w:eastAsia="仿宋"/>
                <w:sz w:val="24"/>
                <w:szCs w:val="24"/>
              </w:rPr>
            </w:pPr>
            <w:r>
              <w:rPr>
                <w:rFonts w:hint="eastAsia" w:ascii="仿宋" w:hAnsi="仿宋" w:eastAsia="仿宋"/>
                <w:sz w:val="24"/>
                <w:szCs w:val="24"/>
              </w:rPr>
              <w:t>绿色建筑、绿色新型建材制造、装配式建筑</w:t>
            </w:r>
          </w:p>
        </w:tc>
      </w:tr>
      <w:tr w14:paraId="1665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60" w:type="dxa"/>
          </w:tcPr>
          <w:p w14:paraId="211C46E3">
            <w:pPr>
              <w:jc w:val="left"/>
              <w:rPr>
                <w:rFonts w:ascii="仿宋" w:hAnsi="仿宋" w:eastAsia="仿宋"/>
                <w:sz w:val="24"/>
                <w:szCs w:val="24"/>
              </w:rPr>
            </w:pPr>
            <w:r>
              <w:rPr>
                <w:rFonts w:hint="eastAsia" w:ascii="仿宋" w:hAnsi="仿宋" w:eastAsia="仿宋" w:cs="Times New Roman"/>
                <w:sz w:val="24"/>
                <w:szCs w:val="24"/>
              </w:rPr>
              <w:t>新一代信息技术产业集群</w:t>
            </w:r>
          </w:p>
        </w:tc>
        <w:tc>
          <w:tcPr>
            <w:tcW w:w="1668" w:type="dxa"/>
          </w:tcPr>
          <w:p w14:paraId="642A1605">
            <w:pPr>
              <w:rPr>
                <w:rFonts w:ascii="仿宋" w:hAnsi="仿宋" w:eastAsia="仿宋"/>
                <w:sz w:val="24"/>
                <w:szCs w:val="24"/>
              </w:rPr>
            </w:pPr>
            <w:r>
              <w:rPr>
                <w:rFonts w:hint="eastAsia" w:ascii="仿宋" w:hAnsi="仿宋" w:eastAsia="仿宋"/>
                <w:sz w:val="24"/>
                <w:szCs w:val="24"/>
              </w:rPr>
              <w:t>南部智能电子产业带</w:t>
            </w:r>
          </w:p>
        </w:tc>
        <w:tc>
          <w:tcPr>
            <w:tcW w:w="2355" w:type="dxa"/>
          </w:tcPr>
          <w:p w14:paraId="25C34FD5">
            <w:pPr>
              <w:rPr>
                <w:rFonts w:ascii="仿宋" w:hAnsi="仿宋" w:eastAsia="仿宋"/>
                <w:sz w:val="24"/>
                <w:szCs w:val="24"/>
              </w:rPr>
            </w:pPr>
            <w:r>
              <w:rPr>
                <w:rFonts w:hint="eastAsia" w:ascii="仿宋" w:hAnsi="仿宋" w:eastAsia="仿宋"/>
                <w:sz w:val="24"/>
                <w:szCs w:val="24"/>
              </w:rPr>
              <w:t>中电科华南信息产业园</w:t>
            </w:r>
          </w:p>
        </w:tc>
        <w:tc>
          <w:tcPr>
            <w:tcW w:w="3023" w:type="dxa"/>
          </w:tcPr>
          <w:p w14:paraId="7A06B8A4">
            <w:pPr>
              <w:rPr>
                <w:rFonts w:ascii="仿宋" w:hAnsi="仿宋" w:eastAsia="仿宋"/>
                <w:sz w:val="24"/>
                <w:szCs w:val="24"/>
              </w:rPr>
            </w:pPr>
            <w:r>
              <w:rPr>
                <w:rFonts w:hint="eastAsia" w:ascii="仿宋" w:hAnsi="仿宋" w:eastAsia="仿宋"/>
                <w:sz w:val="24"/>
                <w:szCs w:val="24"/>
              </w:rPr>
              <w:t>集成电路、通信网络、新型显示、新型元器件、空间信息应用、智慧应用</w:t>
            </w:r>
          </w:p>
        </w:tc>
      </w:tr>
      <w:tr w14:paraId="6022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060" w:type="dxa"/>
          </w:tcPr>
          <w:p w14:paraId="0123677A">
            <w:pPr>
              <w:jc w:val="left"/>
              <w:rPr>
                <w:rFonts w:ascii="仿宋" w:hAnsi="仿宋" w:eastAsia="仿宋"/>
                <w:sz w:val="24"/>
                <w:szCs w:val="24"/>
              </w:rPr>
            </w:pPr>
            <w:r>
              <w:rPr>
                <w:rFonts w:hint="eastAsia" w:ascii="仿宋" w:hAnsi="仿宋" w:eastAsia="仿宋" w:cs="Times New Roman"/>
                <w:sz w:val="24"/>
                <w:szCs w:val="24"/>
              </w:rPr>
              <w:t>新能源和智能网联汽车产业集群</w:t>
            </w:r>
          </w:p>
        </w:tc>
        <w:tc>
          <w:tcPr>
            <w:tcW w:w="1668" w:type="dxa"/>
          </w:tcPr>
          <w:p w14:paraId="4DCEAAD7">
            <w:pPr>
              <w:rPr>
                <w:rFonts w:ascii="仿宋" w:hAnsi="仿宋" w:eastAsia="仿宋"/>
                <w:sz w:val="24"/>
                <w:szCs w:val="24"/>
              </w:rPr>
            </w:pPr>
            <w:r>
              <w:rPr>
                <w:rFonts w:hint="eastAsia" w:ascii="仿宋" w:hAnsi="仿宋" w:eastAsia="仿宋"/>
                <w:sz w:val="24"/>
                <w:szCs w:val="24"/>
              </w:rPr>
              <w:t>西部先进制造业产业带</w:t>
            </w:r>
          </w:p>
        </w:tc>
        <w:tc>
          <w:tcPr>
            <w:tcW w:w="2355" w:type="dxa"/>
          </w:tcPr>
          <w:p w14:paraId="11B4CAF9">
            <w:pPr>
              <w:rPr>
                <w:rFonts w:ascii="仿宋" w:hAnsi="仿宋" w:eastAsia="仿宋"/>
                <w:sz w:val="24"/>
                <w:szCs w:val="24"/>
              </w:rPr>
            </w:pPr>
            <w:r>
              <w:rPr>
                <w:rFonts w:hint="eastAsia" w:ascii="仿宋" w:hAnsi="仿宋" w:eastAsia="仿宋"/>
                <w:sz w:val="24"/>
                <w:szCs w:val="24"/>
              </w:rPr>
              <w:t>花都高新技术产业开发区、花都国际先进装备制造产业园</w:t>
            </w:r>
          </w:p>
        </w:tc>
        <w:tc>
          <w:tcPr>
            <w:tcW w:w="3023" w:type="dxa"/>
          </w:tcPr>
          <w:p w14:paraId="30A72726">
            <w:pPr>
              <w:rPr>
                <w:rFonts w:ascii="仿宋" w:hAnsi="仿宋" w:eastAsia="仿宋"/>
                <w:sz w:val="24"/>
                <w:szCs w:val="24"/>
              </w:rPr>
            </w:pPr>
            <w:r>
              <w:rPr>
                <w:rFonts w:hint="eastAsia" w:ascii="仿宋" w:hAnsi="仿宋" w:eastAsia="仿宋"/>
                <w:sz w:val="24"/>
                <w:szCs w:val="24"/>
              </w:rPr>
              <w:t>新能源汽车、智能网联、共享汽车</w:t>
            </w:r>
          </w:p>
        </w:tc>
      </w:tr>
      <w:tr w14:paraId="0C70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60" w:type="dxa"/>
          </w:tcPr>
          <w:p w14:paraId="6971E8E9">
            <w:pPr>
              <w:jc w:val="left"/>
              <w:rPr>
                <w:rFonts w:ascii="仿宋" w:hAnsi="仿宋" w:eastAsia="仿宋"/>
                <w:sz w:val="24"/>
                <w:szCs w:val="24"/>
              </w:rPr>
            </w:pPr>
            <w:r>
              <w:rPr>
                <w:rFonts w:hint="eastAsia" w:ascii="仿宋" w:hAnsi="仿宋" w:eastAsia="仿宋" w:cs="Times New Roman"/>
                <w:sz w:val="24"/>
                <w:szCs w:val="24"/>
              </w:rPr>
              <w:t>新材料产业集群</w:t>
            </w:r>
          </w:p>
        </w:tc>
        <w:tc>
          <w:tcPr>
            <w:tcW w:w="1668" w:type="dxa"/>
          </w:tcPr>
          <w:p w14:paraId="08CC3E47">
            <w:pPr>
              <w:rPr>
                <w:rFonts w:ascii="仿宋" w:hAnsi="仿宋" w:eastAsia="仿宋"/>
                <w:sz w:val="24"/>
                <w:szCs w:val="24"/>
              </w:rPr>
            </w:pPr>
            <w:r>
              <w:rPr>
                <w:rFonts w:hint="eastAsia" w:ascii="仿宋" w:hAnsi="仿宋" w:eastAsia="仿宋"/>
                <w:sz w:val="24"/>
                <w:szCs w:val="24"/>
              </w:rPr>
              <w:t>南部智能电子产业带</w:t>
            </w:r>
          </w:p>
        </w:tc>
        <w:tc>
          <w:tcPr>
            <w:tcW w:w="2355" w:type="dxa"/>
          </w:tcPr>
          <w:p w14:paraId="23DA6C17">
            <w:pPr>
              <w:rPr>
                <w:rFonts w:ascii="仿宋" w:hAnsi="仿宋" w:eastAsia="仿宋"/>
                <w:sz w:val="24"/>
                <w:szCs w:val="24"/>
              </w:rPr>
            </w:pPr>
            <w:r>
              <w:rPr>
                <w:rFonts w:hint="eastAsia" w:ascii="仿宋" w:hAnsi="仿宋" w:eastAsia="仿宋"/>
                <w:sz w:val="24"/>
                <w:szCs w:val="24"/>
              </w:rPr>
              <w:t>北科大广州新材料产业园</w:t>
            </w:r>
          </w:p>
        </w:tc>
        <w:tc>
          <w:tcPr>
            <w:tcW w:w="3023" w:type="dxa"/>
          </w:tcPr>
          <w:p w14:paraId="4A313ACA">
            <w:pPr>
              <w:rPr>
                <w:rFonts w:ascii="仿宋" w:hAnsi="仿宋" w:eastAsia="仿宋"/>
                <w:sz w:val="24"/>
                <w:szCs w:val="24"/>
              </w:rPr>
            </w:pPr>
            <w:r>
              <w:rPr>
                <w:rFonts w:hint="eastAsia" w:ascii="仿宋" w:hAnsi="仿宋" w:eastAsia="仿宋"/>
                <w:sz w:val="24"/>
                <w:szCs w:val="24"/>
              </w:rPr>
              <w:t>新型光电信息材料，生物医用材料、新能源材料、航空航天材料、环保节能建材等</w:t>
            </w:r>
          </w:p>
        </w:tc>
      </w:tr>
      <w:tr w14:paraId="7243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060" w:type="dxa"/>
          </w:tcPr>
          <w:p w14:paraId="1895AEE8">
            <w:pPr>
              <w:jc w:val="left"/>
              <w:rPr>
                <w:rFonts w:ascii="仿宋" w:hAnsi="仿宋" w:eastAsia="仿宋"/>
                <w:sz w:val="24"/>
                <w:szCs w:val="24"/>
              </w:rPr>
            </w:pPr>
            <w:r>
              <w:rPr>
                <w:rFonts w:hint="eastAsia" w:ascii="仿宋" w:hAnsi="仿宋" w:eastAsia="仿宋" w:cs="Times New Roman"/>
                <w:sz w:val="24"/>
                <w:szCs w:val="24"/>
              </w:rPr>
              <w:t>智能装备和机器人产业集群</w:t>
            </w:r>
          </w:p>
        </w:tc>
        <w:tc>
          <w:tcPr>
            <w:tcW w:w="1668" w:type="dxa"/>
          </w:tcPr>
          <w:p w14:paraId="2E3902A4">
            <w:pPr>
              <w:rPr>
                <w:rFonts w:ascii="仿宋" w:hAnsi="仿宋" w:eastAsia="仿宋"/>
                <w:sz w:val="24"/>
                <w:szCs w:val="24"/>
              </w:rPr>
            </w:pPr>
            <w:r>
              <w:rPr>
                <w:rFonts w:hint="eastAsia" w:ascii="仿宋" w:hAnsi="仿宋" w:eastAsia="仿宋"/>
                <w:sz w:val="24"/>
                <w:szCs w:val="24"/>
              </w:rPr>
              <w:t>西部先进制造业产业带</w:t>
            </w:r>
          </w:p>
          <w:p w14:paraId="57C637E0">
            <w:pPr>
              <w:rPr>
                <w:rFonts w:ascii="仿宋" w:hAnsi="仿宋" w:eastAsia="仿宋"/>
                <w:sz w:val="24"/>
                <w:szCs w:val="24"/>
              </w:rPr>
            </w:pPr>
          </w:p>
          <w:p w14:paraId="494EAF3A">
            <w:pPr>
              <w:rPr>
                <w:rFonts w:ascii="仿宋" w:hAnsi="仿宋" w:eastAsia="仿宋"/>
                <w:sz w:val="24"/>
                <w:szCs w:val="24"/>
              </w:rPr>
            </w:pPr>
            <w:r>
              <w:rPr>
                <w:rFonts w:hint="eastAsia" w:ascii="仿宋" w:hAnsi="仿宋" w:eastAsia="仿宋"/>
                <w:sz w:val="24"/>
                <w:szCs w:val="24"/>
              </w:rPr>
              <w:t>南部智能电子产业带</w:t>
            </w:r>
          </w:p>
        </w:tc>
        <w:tc>
          <w:tcPr>
            <w:tcW w:w="2355" w:type="dxa"/>
          </w:tcPr>
          <w:p w14:paraId="28917700">
            <w:pPr>
              <w:rPr>
                <w:rFonts w:ascii="仿宋" w:hAnsi="仿宋" w:eastAsia="仿宋"/>
                <w:sz w:val="24"/>
                <w:szCs w:val="24"/>
              </w:rPr>
            </w:pPr>
            <w:r>
              <w:rPr>
                <w:rFonts w:hint="eastAsia" w:ascii="仿宋" w:hAnsi="仿宋" w:eastAsia="仿宋"/>
                <w:sz w:val="24"/>
                <w:szCs w:val="24"/>
              </w:rPr>
              <w:t>国际先进制造产业园</w:t>
            </w:r>
          </w:p>
          <w:p w14:paraId="1F763018">
            <w:pPr>
              <w:rPr>
                <w:rFonts w:ascii="仿宋" w:hAnsi="仿宋" w:eastAsia="仿宋"/>
                <w:sz w:val="24"/>
                <w:szCs w:val="24"/>
              </w:rPr>
            </w:pPr>
            <w:r>
              <w:rPr>
                <w:rFonts w:hint="eastAsia" w:ascii="仿宋" w:hAnsi="仿宋" w:eastAsia="仿宋"/>
                <w:sz w:val="24"/>
                <w:szCs w:val="24"/>
              </w:rPr>
              <w:t>智能电子绿色价值创新园</w:t>
            </w:r>
          </w:p>
          <w:p w14:paraId="4D58EA62">
            <w:pPr>
              <w:rPr>
                <w:rFonts w:ascii="仿宋" w:hAnsi="仿宋" w:eastAsia="仿宋"/>
                <w:sz w:val="24"/>
                <w:szCs w:val="24"/>
              </w:rPr>
            </w:pPr>
            <w:r>
              <w:rPr>
                <w:rFonts w:hint="eastAsia" w:ascii="仿宋" w:hAnsi="仿宋" w:eastAsia="仿宋"/>
                <w:sz w:val="24"/>
                <w:szCs w:val="24"/>
              </w:rPr>
              <w:t>交通装备制造产业园</w:t>
            </w:r>
          </w:p>
        </w:tc>
        <w:tc>
          <w:tcPr>
            <w:tcW w:w="3023" w:type="dxa"/>
          </w:tcPr>
          <w:p w14:paraId="00590286">
            <w:pPr>
              <w:rPr>
                <w:rFonts w:ascii="仿宋" w:hAnsi="仿宋" w:eastAsia="仿宋"/>
                <w:sz w:val="24"/>
                <w:szCs w:val="24"/>
              </w:rPr>
            </w:pPr>
            <w:r>
              <w:rPr>
                <w:rFonts w:hint="eastAsia" w:ascii="仿宋" w:hAnsi="仿宋" w:eastAsia="仿宋"/>
                <w:sz w:val="24"/>
                <w:szCs w:val="24"/>
              </w:rPr>
              <w:t>高端医疗器械、新能源核心部件、智能装备制造、智能制造成套装备生产、智能测控装置与部件生产、配套机械加工、工业机器人</w:t>
            </w:r>
          </w:p>
        </w:tc>
      </w:tr>
      <w:tr w14:paraId="6ABB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60" w:type="dxa"/>
          </w:tcPr>
          <w:p w14:paraId="79E8B67E">
            <w:pPr>
              <w:jc w:val="left"/>
              <w:rPr>
                <w:rFonts w:ascii="仿宋" w:hAnsi="仿宋" w:eastAsia="仿宋" w:cs="Times New Roman"/>
                <w:sz w:val="24"/>
                <w:szCs w:val="24"/>
              </w:rPr>
            </w:pPr>
            <w:r>
              <w:rPr>
                <w:rFonts w:hint="eastAsia" w:ascii="仿宋" w:hAnsi="仿宋" w:eastAsia="仿宋" w:cs="Times New Roman"/>
                <w:sz w:val="24"/>
                <w:szCs w:val="24"/>
              </w:rPr>
              <w:t>生物医药产业集群</w:t>
            </w:r>
          </w:p>
        </w:tc>
        <w:tc>
          <w:tcPr>
            <w:tcW w:w="1668" w:type="dxa"/>
          </w:tcPr>
          <w:p w14:paraId="7C0C48C5">
            <w:pPr>
              <w:rPr>
                <w:rFonts w:ascii="仿宋" w:hAnsi="仿宋" w:eastAsia="仿宋"/>
                <w:sz w:val="24"/>
                <w:szCs w:val="24"/>
              </w:rPr>
            </w:pPr>
            <w:r>
              <w:rPr>
                <w:rFonts w:hint="eastAsia" w:ascii="仿宋" w:hAnsi="仿宋" w:eastAsia="仿宋"/>
                <w:sz w:val="24"/>
                <w:szCs w:val="24"/>
              </w:rPr>
              <w:t>东部临空型制造产业带</w:t>
            </w:r>
          </w:p>
        </w:tc>
        <w:tc>
          <w:tcPr>
            <w:tcW w:w="2355" w:type="dxa"/>
          </w:tcPr>
          <w:p w14:paraId="5249ADDC">
            <w:pPr>
              <w:rPr>
                <w:rFonts w:ascii="仿宋" w:hAnsi="仿宋" w:eastAsia="仿宋"/>
                <w:sz w:val="24"/>
                <w:szCs w:val="24"/>
              </w:rPr>
            </w:pPr>
            <w:r>
              <w:rPr>
                <w:rFonts w:hint="eastAsia" w:ascii="仿宋" w:hAnsi="仿宋" w:eastAsia="仿宋"/>
                <w:sz w:val="24"/>
                <w:szCs w:val="24"/>
              </w:rPr>
              <w:t>花都临空高科技产业园、花都高新技术产业园</w:t>
            </w:r>
          </w:p>
        </w:tc>
        <w:tc>
          <w:tcPr>
            <w:tcW w:w="3023" w:type="dxa"/>
          </w:tcPr>
          <w:p w14:paraId="71F2F1FB">
            <w:pPr>
              <w:rPr>
                <w:rFonts w:ascii="仿宋" w:hAnsi="仿宋" w:eastAsia="仿宋"/>
                <w:sz w:val="24"/>
                <w:szCs w:val="24"/>
              </w:rPr>
            </w:pPr>
            <w:r>
              <w:rPr>
                <w:rFonts w:hint="eastAsia" w:ascii="仿宋" w:hAnsi="仿宋" w:eastAsia="仿宋"/>
                <w:sz w:val="24"/>
                <w:szCs w:val="24"/>
              </w:rPr>
              <w:t>生物技术药物、新型疫苗、化学药物、现代中药、基因测序和生物芯片等研发生产</w:t>
            </w:r>
          </w:p>
        </w:tc>
      </w:tr>
    </w:tbl>
    <w:p w14:paraId="06B451B7">
      <w:pPr>
        <w:pStyle w:val="2"/>
        <w:spacing w:before="0" w:after="0" w:line="560" w:lineRule="exact"/>
        <w:ind w:firstLine="643" w:firstLineChars="200"/>
        <w:rPr>
          <w:rFonts w:ascii="楷体_GB2312" w:hAnsi="仿宋" w:eastAsia="楷体_GB2312"/>
        </w:rPr>
      </w:pPr>
      <w:bookmarkStart w:id="76" w:name="_Toc76826149"/>
      <w:r>
        <w:rPr>
          <w:rFonts w:hint="eastAsia" w:ascii="楷体_GB2312" w:hAnsi="仿宋" w:eastAsia="楷体_GB2312"/>
        </w:rPr>
        <w:t>（三）重点园区发展方向</w:t>
      </w:r>
      <w:bookmarkEnd w:id="76"/>
    </w:p>
    <w:p w14:paraId="2F48B47A">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严格遵守国家省市产业发展政策，以</w:t>
      </w:r>
      <w:r>
        <w:rPr>
          <w:rFonts w:hint="eastAsia" w:ascii="仿宋_GB2312" w:hAnsi="仿宋_GB2312" w:eastAsia="仿宋_GB2312" w:cs="仿宋_GB2312"/>
          <w:color w:val="000000"/>
          <w:sz w:val="32"/>
          <w:szCs w:val="32"/>
        </w:rPr>
        <w:t>节约集约用地，提高产业用地效益</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加强产业链式集聚</w:t>
      </w:r>
      <w:r>
        <w:rPr>
          <w:rFonts w:ascii="仿宋_GB2312" w:hAnsi="仿宋_GB2312" w:eastAsia="仿宋_GB2312" w:cs="仿宋_GB2312"/>
          <w:color w:val="000000"/>
          <w:sz w:val="32"/>
          <w:szCs w:val="32"/>
        </w:rPr>
        <w:t>为目标</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全区将着力发展9个先进制造业园区。</w:t>
      </w:r>
      <w:r>
        <w:rPr>
          <w:rFonts w:hint="eastAsia" w:ascii="仿宋_GB2312" w:hAnsi="仿宋_GB2312" w:eastAsia="仿宋_GB2312" w:cs="仿宋_GB2312"/>
          <w:color w:val="000000"/>
          <w:sz w:val="32"/>
          <w:szCs w:val="32"/>
        </w:rPr>
        <w:t>其中，西部智能制造产业带上主要有花都高新技术产业开发区、花都国际先进制造产业园、花都绿色产业价值园、交通装备制造产业园、大涡先进制造产业园、赤坭中小企业园和皮革皮具产业创新园共</w:t>
      </w:r>
      <w:r>
        <w:rPr>
          <w:rFonts w:ascii="仿宋_GB2312" w:hAnsi="仿宋_GB2312" w:eastAsia="仿宋_GB2312" w:cs="仿宋_GB2312"/>
          <w:color w:val="000000"/>
          <w:sz w:val="32"/>
          <w:szCs w:val="32"/>
        </w:rPr>
        <w:t>6个园</w:t>
      </w:r>
      <w:r>
        <w:rPr>
          <w:rFonts w:hint="eastAsia" w:ascii="仿宋_GB2312" w:hAnsi="仿宋_GB2312" w:eastAsia="仿宋_GB2312" w:cs="仿宋_GB2312"/>
          <w:color w:val="000000"/>
          <w:sz w:val="32"/>
          <w:szCs w:val="32"/>
        </w:rPr>
        <w:t>区；东部临空型制造产业带上主要有花都高新技术产业园、花都临空高科技产业园共</w:t>
      </w:r>
      <w:r>
        <w:rPr>
          <w:rFonts w:ascii="仿宋_GB2312" w:hAnsi="仿宋_GB2312" w:eastAsia="仿宋_GB2312" w:cs="仿宋_GB2312"/>
          <w:color w:val="000000"/>
          <w:sz w:val="32"/>
          <w:szCs w:val="32"/>
        </w:rPr>
        <w:t>2个；</w:t>
      </w:r>
      <w:r>
        <w:rPr>
          <w:rFonts w:hint="eastAsia" w:ascii="仿宋_GB2312" w:hAnsi="仿宋_GB2312" w:eastAsia="仿宋_GB2312" w:cs="仿宋_GB2312"/>
          <w:color w:val="000000"/>
          <w:sz w:val="32"/>
          <w:szCs w:val="32"/>
        </w:rPr>
        <w:t>南部智能电子产业带上主要有花都智能电子绿色价值创新园。</w:t>
      </w:r>
    </w:p>
    <w:p w14:paraId="6F2EE850">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花都高新技术产业开发区。</w:t>
      </w:r>
      <w:r>
        <w:rPr>
          <w:rFonts w:hint="eastAsia" w:ascii="仿宋_GB2312" w:hAnsi="仿宋_GB2312" w:eastAsia="仿宋_GB2312" w:cs="仿宋_GB2312"/>
          <w:color w:val="000000"/>
          <w:sz w:val="32"/>
          <w:szCs w:val="32"/>
        </w:rPr>
        <w:t>发挥汽车产业基础深厚和集群效应显著的优势，以高科技、产业化为方向，推动产业数字化、智能化转型，聚焦新能源和智能网联的发展，巩固提升汽车整车及零部件制造，重点打造智能新能源汽车全产业链生态，加快升级国家级经济开发区。</w:t>
      </w:r>
    </w:p>
    <w:p w14:paraId="6AA4109A">
      <w:pPr>
        <w:spacing w:line="560" w:lineRule="exact"/>
        <w:ind w:firstLine="643" w:firstLineChars="200"/>
        <w:rPr>
          <w:rFonts w:ascii="仿宋_GB2312" w:hAnsi="仿宋" w:eastAsia="仿宋_GB2312" w:cstheme="majorBidi"/>
          <w:bCs/>
          <w:sz w:val="32"/>
          <w:szCs w:val="32"/>
        </w:rPr>
      </w:pPr>
      <w:r>
        <w:rPr>
          <w:rFonts w:hint="eastAsia" w:ascii="仿宋_GB2312" w:hAnsi="仿宋" w:eastAsia="仿宋_GB2312" w:cstheme="majorBidi"/>
          <w:b/>
          <w:bCs/>
          <w:sz w:val="32"/>
          <w:szCs w:val="32"/>
        </w:rPr>
        <w:t>花都国际先进制造产业园。</w:t>
      </w:r>
      <w:r>
        <w:rPr>
          <w:rFonts w:hint="eastAsia" w:ascii="仿宋_GB2312" w:hAnsi="仿宋" w:eastAsia="仿宋_GB2312" w:cstheme="majorBidi"/>
          <w:bCs/>
          <w:sz w:val="32"/>
          <w:szCs w:val="32"/>
        </w:rPr>
        <w:t>重点发展汽车制造、汽车配件、节能与新能源汽车、先进装备制造、航空装备制造、新材料、轨道交通装备制造、都市消费工业等主导产业，集聚了汽车产业、新能源和智能网联汽车、智能装备及机器人等全区重点产业集群。</w:t>
      </w:r>
    </w:p>
    <w:p w14:paraId="19AB1C71">
      <w:pPr>
        <w:spacing w:line="560" w:lineRule="exact"/>
        <w:ind w:firstLine="643" w:firstLineChars="200"/>
        <w:rPr>
          <w:rFonts w:ascii="仿宋_GB2312" w:hAnsi="仿宋" w:eastAsia="仿宋_GB2312" w:cstheme="majorBidi"/>
          <w:bCs/>
          <w:sz w:val="32"/>
          <w:szCs w:val="32"/>
        </w:rPr>
      </w:pPr>
      <w:r>
        <w:rPr>
          <w:rFonts w:hint="eastAsia" w:ascii="仿宋_GB2312" w:hAnsi="仿宋" w:eastAsia="仿宋_GB2312" w:cstheme="majorBidi"/>
          <w:b/>
          <w:bCs/>
          <w:sz w:val="32"/>
          <w:szCs w:val="32"/>
        </w:rPr>
        <w:t>交通装备制造产业园。</w:t>
      </w:r>
      <w:r>
        <w:rPr>
          <w:rFonts w:hint="eastAsia" w:ascii="仿宋_GB2312" w:hAnsi="仿宋" w:eastAsia="仿宋_GB2312" w:cstheme="majorBidi"/>
          <w:bCs/>
          <w:sz w:val="32"/>
          <w:szCs w:val="32"/>
        </w:rPr>
        <w:t>重点发展重载电力机车、高速重载城市轨道交通整车及产业配套，重点打造智能装备和机器人产业集群。</w:t>
      </w:r>
    </w:p>
    <w:p w14:paraId="467BBF3B">
      <w:pPr>
        <w:spacing w:line="560" w:lineRule="exact"/>
        <w:ind w:firstLine="643" w:firstLineChars="200"/>
        <w:rPr>
          <w:rFonts w:ascii="仿宋_GB2312" w:hAnsi="仿宋" w:eastAsia="仿宋_GB2312" w:cstheme="majorBidi"/>
          <w:bCs/>
          <w:sz w:val="32"/>
          <w:szCs w:val="32"/>
        </w:rPr>
      </w:pPr>
      <w:r>
        <w:rPr>
          <w:rFonts w:hint="eastAsia" w:ascii="仿宋_GB2312" w:hAnsi="仿宋" w:eastAsia="仿宋_GB2312" w:cstheme="majorBidi"/>
          <w:b/>
          <w:bCs/>
          <w:sz w:val="32"/>
          <w:szCs w:val="32"/>
        </w:rPr>
        <w:t>花都绿色产业价值园。</w:t>
      </w:r>
      <w:r>
        <w:rPr>
          <w:rFonts w:hint="eastAsia" w:ascii="仿宋_GB2312" w:hAnsi="仿宋" w:eastAsia="仿宋_GB2312" w:cstheme="majorBidi"/>
          <w:bCs/>
          <w:sz w:val="32"/>
          <w:szCs w:val="32"/>
        </w:rPr>
        <w:t>重点发展化妆品、服饰、汽车配件、环保装备等产业，重点打造时尚产业集群。</w:t>
      </w:r>
    </w:p>
    <w:p w14:paraId="0635376B">
      <w:pPr>
        <w:spacing w:line="560" w:lineRule="exact"/>
        <w:ind w:firstLine="643" w:firstLineChars="200"/>
        <w:rPr>
          <w:rFonts w:ascii="仿宋_GB2312" w:hAnsi="仿宋" w:eastAsia="仿宋_GB2312" w:cstheme="majorBidi"/>
          <w:bCs/>
          <w:sz w:val="32"/>
          <w:szCs w:val="32"/>
        </w:rPr>
      </w:pPr>
      <w:r>
        <w:rPr>
          <w:rFonts w:hint="eastAsia" w:ascii="仿宋_GB2312" w:hAnsi="仿宋" w:eastAsia="仿宋_GB2312" w:cstheme="majorBidi"/>
          <w:b/>
          <w:bCs/>
          <w:sz w:val="32"/>
          <w:szCs w:val="32"/>
        </w:rPr>
        <w:t>大涡先进制造产业园。</w:t>
      </w:r>
      <w:r>
        <w:rPr>
          <w:rFonts w:hint="eastAsia" w:ascii="仿宋_GB2312" w:hAnsi="仿宋" w:eastAsia="仿宋_GB2312" w:cstheme="majorBidi"/>
          <w:bCs/>
          <w:sz w:val="32"/>
          <w:szCs w:val="32"/>
        </w:rPr>
        <w:t>重点发展特种车制造、汽车零部件制造、纺织服装，重点打造汽车产业集群。</w:t>
      </w:r>
    </w:p>
    <w:p w14:paraId="30C5FF19">
      <w:pPr>
        <w:spacing w:line="560" w:lineRule="exact"/>
        <w:ind w:firstLine="643" w:firstLineChars="200"/>
        <w:rPr>
          <w:rFonts w:ascii="仿宋_GB2312" w:hAnsi="仿宋" w:eastAsia="仿宋_GB2312" w:cstheme="majorBidi"/>
          <w:bCs/>
          <w:sz w:val="32"/>
          <w:szCs w:val="32"/>
        </w:rPr>
      </w:pPr>
      <w:r>
        <w:rPr>
          <w:rFonts w:hint="eastAsia" w:ascii="仿宋_GB2312" w:hAnsi="仿宋" w:eastAsia="仿宋_GB2312" w:cstheme="majorBidi"/>
          <w:b/>
          <w:bCs/>
          <w:sz w:val="32"/>
          <w:szCs w:val="32"/>
        </w:rPr>
        <w:t>赤坭中小企业园。</w:t>
      </w:r>
      <w:r>
        <w:rPr>
          <w:rFonts w:hint="eastAsia" w:ascii="仿宋_GB2312" w:hAnsi="仿宋" w:eastAsia="仿宋_GB2312" w:cstheme="majorBidi"/>
          <w:bCs/>
          <w:sz w:val="32"/>
          <w:szCs w:val="32"/>
        </w:rPr>
        <w:t>重点发展汽车制造、先进装备制造、智能网联汽车、循环经济产业，重点打造汽车产业和新能源和智能网联汽车产业集群。</w:t>
      </w:r>
    </w:p>
    <w:p w14:paraId="613249CF">
      <w:pPr>
        <w:spacing w:line="560" w:lineRule="exact"/>
        <w:ind w:firstLine="643" w:firstLineChars="200"/>
        <w:rPr>
          <w:rFonts w:ascii="仿宋_GB2312" w:hAnsi="仿宋" w:eastAsia="仿宋_GB2312" w:cstheme="majorBidi"/>
          <w:bCs/>
          <w:sz w:val="32"/>
          <w:szCs w:val="32"/>
        </w:rPr>
      </w:pPr>
      <w:r>
        <w:rPr>
          <w:rFonts w:hint="eastAsia" w:ascii="仿宋_GB2312" w:hAnsi="仿宋" w:eastAsia="仿宋_GB2312" w:cstheme="majorBidi"/>
          <w:b/>
          <w:bCs/>
          <w:sz w:val="32"/>
          <w:szCs w:val="32"/>
        </w:rPr>
        <w:t>皮革皮具产业创新园。</w:t>
      </w:r>
      <w:r>
        <w:rPr>
          <w:rFonts w:hint="eastAsia" w:ascii="仿宋_GB2312" w:hAnsi="仿宋" w:eastAsia="仿宋_GB2312" w:cstheme="majorBidi"/>
          <w:bCs/>
          <w:sz w:val="32"/>
          <w:szCs w:val="32"/>
        </w:rPr>
        <w:t>重点发展皮革皮具业、产品研发、创意设计、商贸流通，重点打造时尚产业集群。</w:t>
      </w:r>
    </w:p>
    <w:p w14:paraId="61D82A3C">
      <w:pPr>
        <w:spacing w:line="560" w:lineRule="exact"/>
        <w:ind w:firstLine="643" w:firstLineChars="200"/>
        <w:rPr>
          <w:rFonts w:ascii="仿宋_GB2312" w:hAnsi="仿宋" w:eastAsia="仿宋_GB2312" w:cstheme="majorBidi"/>
          <w:bCs/>
          <w:sz w:val="32"/>
          <w:szCs w:val="32"/>
        </w:rPr>
      </w:pPr>
      <w:r>
        <w:rPr>
          <w:rFonts w:hint="eastAsia" w:ascii="仿宋_GB2312" w:hAnsi="仿宋" w:eastAsia="仿宋_GB2312" w:cstheme="majorBidi"/>
          <w:b/>
          <w:bCs/>
          <w:sz w:val="32"/>
          <w:szCs w:val="32"/>
        </w:rPr>
        <w:t>花都高新技术产业园。</w:t>
      </w:r>
      <w:r>
        <w:rPr>
          <w:rFonts w:hint="eastAsia" w:ascii="仿宋_GB2312" w:hAnsi="仿宋" w:eastAsia="仿宋_GB2312" w:cstheme="majorBidi"/>
          <w:bCs/>
          <w:sz w:val="32"/>
          <w:szCs w:val="32"/>
        </w:rPr>
        <w:t>重点发展新一代信息技术、飞机维修、飞机部装、飞机零部件生产、飞机附件生产及机载设备制造、航空电子、</w:t>
      </w:r>
      <w:r>
        <w:rPr>
          <w:rFonts w:ascii="仿宋_GB2312" w:hAnsi="仿宋" w:eastAsia="仿宋_GB2312" w:cstheme="majorBidi"/>
          <w:bCs/>
          <w:sz w:val="32"/>
          <w:szCs w:val="32"/>
        </w:rPr>
        <w:t xml:space="preserve"> </w:t>
      </w:r>
      <w:r>
        <w:rPr>
          <w:rFonts w:hint="eastAsia" w:ascii="仿宋_GB2312" w:hAnsi="仿宋" w:eastAsia="仿宋_GB2312" w:cstheme="majorBidi"/>
          <w:bCs/>
          <w:sz w:val="32"/>
          <w:szCs w:val="32"/>
        </w:rPr>
        <w:t>航材制造、半导体照明（</w:t>
      </w:r>
      <w:r>
        <w:rPr>
          <w:rFonts w:ascii="仿宋_GB2312" w:hAnsi="仿宋" w:eastAsia="仿宋_GB2312" w:cstheme="majorBidi"/>
          <w:bCs/>
          <w:sz w:val="32"/>
          <w:szCs w:val="32"/>
        </w:rPr>
        <w:t>LED）、生物制药、光电子产业，重点打造</w:t>
      </w:r>
      <w:r>
        <w:rPr>
          <w:rFonts w:hint="eastAsia" w:ascii="仿宋_GB2312" w:hAnsi="仿宋" w:eastAsia="仿宋_GB2312" w:cstheme="majorBidi"/>
          <w:bCs/>
          <w:sz w:val="32"/>
          <w:szCs w:val="32"/>
        </w:rPr>
        <w:t>临空高科技产业和新一代信息技术产业集群。</w:t>
      </w:r>
    </w:p>
    <w:p w14:paraId="45F270AE">
      <w:pPr>
        <w:spacing w:line="560" w:lineRule="exact"/>
        <w:ind w:firstLine="643" w:firstLineChars="200"/>
        <w:rPr>
          <w:rFonts w:ascii="仿宋_GB2312" w:hAnsi="仿宋" w:eastAsia="仿宋_GB2312" w:cstheme="majorBidi"/>
          <w:b/>
          <w:bCs/>
          <w:sz w:val="32"/>
          <w:szCs w:val="32"/>
        </w:rPr>
      </w:pPr>
      <w:r>
        <w:rPr>
          <w:rFonts w:hint="eastAsia" w:ascii="仿宋_GB2312" w:hAnsi="仿宋" w:eastAsia="仿宋_GB2312" w:cstheme="majorBidi"/>
          <w:b/>
          <w:bCs/>
          <w:sz w:val="32"/>
          <w:szCs w:val="32"/>
        </w:rPr>
        <w:t>花都临空高科技产业园。</w:t>
      </w:r>
      <w:r>
        <w:rPr>
          <w:rFonts w:hint="eastAsia" w:ascii="仿宋_GB2312" w:hAnsi="仿宋" w:eastAsia="仿宋_GB2312" w:cstheme="majorBidi"/>
          <w:bCs/>
          <w:sz w:val="32"/>
          <w:szCs w:val="32"/>
        </w:rPr>
        <w:t>重点发展汽车配件、声光电、先进装备制造、航空航材、新材料与精细化工、绿色建筑、节能与新能源汽车、生物医药等主导产业，打造智能装备和机器人产业、临空高科技产业、生物医药和绿色建筑产业集群。</w:t>
      </w:r>
    </w:p>
    <w:p w14:paraId="7E2DC6D2">
      <w:pPr>
        <w:spacing w:line="560" w:lineRule="exact"/>
        <w:ind w:firstLine="643" w:firstLineChars="200"/>
        <w:rPr>
          <w:rFonts w:ascii="仿宋_GB2312" w:hAnsi="仿宋" w:eastAsia="仿宋_GB2312" w:cs="Times New Roman"/>
          <w:b/>
          <w:sz w:val="32"/>
          <w:szCs w:val="32"/>
        </w:rPr>
      </w:pPr>
      <w:r>
        <w:rPr>
          <w:rFonts w:hint="eastAsia" w:ascii="仿宋_GB2312" w:hAnsi="仿宋" w:eastAsia="仿宋_GB2312" w:cstheme="majorBidi"/>
          <w:b/>
          <w:bCs/>
          <w:sz w:val="32"/>
          <w:szCs w:val="32"/>
        </w:rPr>
        <w:t>花都智能电子绿色价值创新园。</w:t>
      </w:r>
      <w:r>
        <w:rPr>
          <w:rFonts w:hint="eastAsia" w:ascii="仿宋_GB2312" w:hAnsi="仿宋" w:eastAsia="仿宋_GB2312" w:cstheme="majorBidi"/>
          <w:bCs/>
          <w:sz w:val="32"/>
          <w:szCs w:val="32"/>
        </w:rPr>
        <w:t>着力发展互联网终端设备、</w:t>
      </w:r>
      <w:r>
        <w:rPr>
          <w:rFonts w:ascii="仿宋_GB2312" w:hAnsi="仿宋" w:eastAsia="仿宋_GB2312" w:cstheme="majorBidi"/>
          <w:bCs/>
          <w:sz w:val="32"/>
          <w:szCs w:val="32"/>
        </w:rPr>
        <w:t xml:space="preserve"> </w:t>
      </w:r>
      <w:r>
        <w:rPr>
          <w:rFonts w:hint="eastAsia" w:ascii="仿宋_GB2312" w:hAnsi="仿宋" w:eastAsia="仿宋_GB2312" w:cstheme="majorBidi"/>
          <w:bCs/>
          <w:sz w:val="32"/>
          <w:szCs w:val="32"/>
        </w:rPr>
        <w:t>工业软件以及大数据、云计算、物联网、智慧应用等新一代信息技术及科技孵化、声光电、人工智能、</w:t>
      </w:r>
      <w:r>
        <w:rPr>
          <w:rFonts w:ascii="仿宋_GB2312" w:hAnsi="仿宋" w:eastAsia="仿宋_GB2312" w:cstheme="majorBidi"/>
          <w:bCs/>
          <w:sz w:val="32"/>
          <w:szCs w:val="32"/>
        </w:rPr>
        <w:t xml:space="preserve"> </w:t>
      </w:r>
      <w:r>
        <w:rPr>
          <w:rFonts w:hint="eastAsia" w:ascii="仿宋_GB2312" w:hAnsi="仿宋" w:eastAsia="仿宋_GB2312" w:cstheme="majorBidi"/>
          <w:bCs/>
          <w:sz w:val="32"/>
          <w:szCs w:val="32"/>
        </w:rPr>
        <w:t>新材料等主导产业，打造智能电子和新材料产业集群。</w:t>
      </w:r>
    </w:p>
    <w:p w14:paraId="6CA02905">
      <w:pPr>
        <w:pStyle w:val="3"/>
        <w:spacing w:before="0" w:after="0" w:line="560" w:lineRule="exact"/>
        <w:rPr>
          <w:rFonts w:ascii="黑体" w:hAnsi="黑体" w:eastAsia="黑体"/>
          <w:b w:val="0"/>
          <w:sz w:val="32"/>
          <w:szCs w:val="32"/>
        </w:rPr>
      </w:pPr>
      <w:bookmarkStart w:id="77" w:name="_Toc76826150"/>
      <w:r>
        <w:rPr>
          <w:rFonts w:hint="eastAsia" w:ascii="黑体" w:hAnsi="黑体" w:eastAsia="黑体"/>
          <w:b w:val="0"/>
          <w:sz w:val="32"/>
          <w:szCs w:val="32"/>
        </w:rPr>
        <w:t>七、提升产业创新能力</w:t>
      </w:r>
      <w:bookmarkEnd w:id="77"/>
    </w:p>
    <w:p w14:paraId="2164AB6A">
      <w:pPr>
        <w:pStyle w:val="2"/>
        <w:spacing w:before="0" w:after="0" w:line="560" w:lineRule="exact"/>
        <w:ind w:firstLine="643" w:firstLineChars="200"/>
        <w:rPr>
          <w:rFonts w:ascii="楷体_GB2312" w:hAnsi="仿宋" w:eastAsia="楷体_GB2312"/>
        </w:rPr>
      </w:pPr>
      <w:bookmarkStart w:id="78" w:name="_Toc76826151"/>
      <w:r>
        <w:rPr>
          <w:rFonts w:hint="eastAsia" w:ascii="楷体_GB2312" w:hAnsi="仿宋" w:eastAsia="楷体_GB2312"/>
        </w:rPr>
        <w:t>（一）强化自主创新</w:t>
      </w:r>
      <w:bookmarkEnd w:id="78"/>
    </w:p>
    <w:p w14:paraId="1A618DE9">
      <w:pPr>
        <w:pStyle w:val="4"/>
        <w:spacing w:before="0" w:after="0" w:line="560" w:lineRule="exact"/>
        <w:ind w:firstLine="643" w:firstLineChars="200"/>
        <w:rPr>
          <w:rFonts w:ascii="仿宋_GB2312" w:hAnsi="Times New Roman" w:eastAsia="仿宋_GB2312"/>
          <w:bCs w:val="0"/>
        </w:rPr>
      </w:pPr>
      <w:bookmarkStart w:id="79" w:name="_Toc76826152"/>
      <w:r>
        <w:rPr>
          <w:rFonts w:hint="eastAsia" w:ascii="仿宋_GB2312" w:hAnsi="Times New Roman" w:eastAsia="仿宋_GB2312"/>
          <w:bCs w:val="0"/>
        </w:rPr>
        <w:t>1.加强关键共性技术创新</w:t>
      </w:r>
      <w:bookmarkEnd w:id="79"/>
    </w:p>
    <w:p w14:paraId="5770695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加大科技创新扶持力度，持续提高</w:t>
      </w:r>
      <w:r>
        <w:rPr>
          <w:rFonts w:ascii="仿宋_GB2312" w:hAnsi="仿宋" w:eastAsia="仿宋_GB2312" w:cs="Times New Roman"/>
          <w:sz w:val="32"/>
          <w:szCs w:val="32"/>
        </w:rPr>
        <w:t>R&amp;D</w:t>
      </w:r>
      <w:r>
        <w:rPr>
          <w:rFonts w:hint="eastAsia" w:ascii="仿宋_GB2312" w:hAnsi="仿宋" w:eastAsia="仿宋_GB2312" w:cs="Times New Roman"/>
          <w:sz w:val="32"/>
          <w:szCs w:val="32"/>
        </w:rPr>
        <w:t>经费投入，落实区级科技创新奖励资金，推荐区内符合条件的科技企业申报上级财政扶持资金</w:t>
      </w:r>
      <w:r>
        <w:rPr>
          <w:rFonts w:ascii="仿宋_GB2312" w:hAnsi="仿宋" w:eastAsia="仿宋_GB2312" w:cs="Times New Roman"/>
          <w:sz w:val="32"/>
          <w:szCs w:val="32"/>
        </w:rPr>
        <w:t>，鼓励企业加大研发投入。</w:t>
      </w:r>
      <w:r>
        <w:rPr>
          <w:rFonts w:hint="eastAsia" w:ascii="仿宋_GB2312" w:hAnsi="仿宋" w:eastAsia="仿宋_GB2312" w:cs="Times New Roman"/>
          <w:sz w:val="32"/>
          <w:szCs w:val="32"/>
        </w:rPr>
        <w:t>鼓励企业与海外和港澳高等院校、科研院所合作，针对制约花都重点产业发展的关键瓶颈和薄弱环节，组织开展核心环节的技术攻关。加快科技创新成果转移和产业化。加强与中科院、工程院、清华大学等国内外顶尖的科研院校合作，解决企业在研发、生产过程中的“卡脖子”问题，促使上下游企业加强产业协同和技术合作攻关，增强产业链韧性；支持区内龙头企业、科研机构等与发达国家和地区合作建立国际产学研创新联盟。</w:t>
      </w:r>
    </w:p>
    <w:p w14:paraId="787CB95B">
      <w:pPr>
        <w:pStyle w:val="4"/>
        <w:spacing w:before="0" w:after="0" w:line="560" w:lineRule="exact"/>
        <w:ind w:firstLine="643" w:firstLineChars="200"/>
        <w:rPr>
          <w:rFonts w:ascii="仿宋_GB2312" w:hAnsi="Times New Roman" w:eastAsia="仿宋_GB2312"/>
          <w:bCs w:val="0"/>
        </w:rPr>
      </w:pPr>
      <w:bookmarkStart w:id="80" w:name="_Toc76826153"/>
      <w:r>
        <w:rPr>
          <w:rFonts w:hint="eastAsia" w:ascii="仿宋_GB2312" w:hAnsi="Times New Roman" w:eastAsia="仿宋_GB2312"/>
          <w:bCs w:val="0"/>
        </w:rPr>
        <w:t>2.加快创新平台建设</w:t>
      </w:r>
      <w:bookmarkEnd w:id="80"/>
    </w:p>
    <w:p w14:paraId="6367B02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依托广州花都高新技术产业开发区、空港经济区和国家级绿色金融改革创新试验区</w:t>
      </w:r>
      <w:r>
        <w:rPr>
          <w:rFonts w:ascii="仿宋_GB2312" w:hAnsi="仿宋" w:eastAsia="仿宋_GB2312" w:cs="Times New Roman"/>
          <w:sz w:val="32"/>
          <w:szCs w:val="32"/>
        </w:rPr>
        <w:t>等载体和优势</w:t>
      </w:r>
      <w:r>
        <w:rPr>
          <w:rFonts w:hint="eastAsia" w:ascii="仿宋_GB2312" w:hAnsi="仿宋" w:eastAsia="仿宋_GB2312" w:cs="Times New Roman"/>
          <w:sz w:val="32"/>
          <w:szCs w:val="32"/>
        </w:rPr>
        <w:t>，</w:t>
      </w:r>
      <w:r>
        <w:rPr>
          <w:rFonts w:ascii="仿宋_GB2312" w:hAnsi="仿宋" w:eastAsia="仿宋_GB2312" w:cs="Times New Roman"/>
          <w:sz w:val="32"/>
          <w:szCs w:val="32"/>
        </w:rPr>
        <w:t>强化</w:t>
      </w:r>
      <w:r>
        <w:rPr>
          <w:rFonts w:hint="eastAsia" w:ascii="仿宋_GB2312" w:hAnsi="仿宋" w:eastAsia="仿宋_GB2312" w:cs="Times New Roman"/>
          <w:sz w:val="32"/>
          <w:szCs w:val="32"/>
        </w:rPr>
        <w:t>创新平台体系建设，建立完善重点园区的制造业创新中心、检验检测公共实验室、孵化器等公共服务平台；积极承接国家、省、市重大科技专项，推动与重点高校、知名企业共建创新平台，在汽车、智能电子信息等先进制造业集群领域规划建设产业创新中心、技术创新中心。鼓励和吸引国内外企业在花都设立新能源汽车、智能网联、智能电子、航空制造等领域的研发中心和产业发展基金。加快申报广东省工程技术研究中心认定，建设省市研发省级工程技术研发中心，鼓励规模以上企业建立研发平台。</w:t>
      </w:r>
    </w:p>
    <w:p w14:paraId="796ADC5A">
      <w:pPr>
        <w:pStyle w:val="4"/>
        <w:spacing w:before="0" w:after="0" w:line="560" w:lineRule="exact"/>
        <w:ind w:firstLine="643" w:firstLineChars="200"/>
        <w:rPr>
          <w:rFonts w:ascii="仿宋_GB2312" w:hAnsi="Times New Roman" w:eastAsia="仿宋_GB2312"/>
          <w:bCs w:val="0"/>
        </w:rPr>
      </w:pPr>
      <w:bookmarkStart w:id="81" w:name="_Toc76826154"/>
      <w:r>
        <w:rPr>
          <w:rFonts w:hint="eastAsia" w:ascii="仿宋_GB2312" w:hAnsi="Times New Roman" w:eastAsia="仿宋_GB2312"/>
          <w:bCs w:val="0"/>
        </w:rPr>
        <w:t>3.搭建先进制造业创新服务网络</w:t>
      </w:r>
      <w:bookmarkEnd w:id="81"/>
    </w:p>
    <w:p w14:paraId="39376BF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鼓励开展创客辅导、融资、软硬件资源共享、产品推广等全过程服务，打通创新、创业、创投、创客的服务链。大力构建“创业苗圃—孵化器—加速器—专业园区”一体化的科技创业孵化链条，打造一批政府主导的具有孵化器职能的公共资源服务平台。针对不同发展阶段的科技企业，提供差异化服务。积极引进国内有影响、有实力的高端运营与服务管理团队，进一步提升我区孵化载体孵化水平。</w:t>
      </w:r>
    </w:p>
    <w:p w14:paraId="099134E4">
      <w:pPr>
        <w:pStyle w:val="4"/>
        <w:spacing w:before="0" w:after="0" w:line="560" w:lineRule="exact"/>
        <w:ind w:firstLine="643" w:firstLineChars="200"/>
        <w:rPr>
          <w:rFonts w:ascii="仿宋_GB2312" w:hAnsi="Times New Roman" w:eastAsia="仿宋_GB2312"/>
          <w:bCs w:val="0"/>
        </w:rPr>
      </w:pPr>
      <w:bookmarkStart w:id="82" w:name="_Toc76826155"/>
      <w:r>
        <w:rPr>
          <w:rFonts w:hint="eastAsia" w:ascii="仿宋_GB2312" w:hAnsi="Times New Roman" w:eastAsia="仿宋_GB2312"/>
          <w:bCs w:val="0"/>
        </w:rPr>
        <w:t>4.大</w:t>
      </w:r>
      <w:r>
        <w:rPr>
          <w:rFonts w:ascii="仿宋_GB2312" w:hAnsi="Times New Roman" w:eastAsia="仿宋_GB2312"/>
          <w:bCs w:val="0"/>
        </w:rPr>
        <w:t>力推动</w:t>
      </w:r>
      <w:r>
        <w:rPr>
          <w:rFonts w:hint="eastAsia" w:ascii="仿宋_GB2312" w:hAnsi="Times New Roman" w:eastAsia="仿宋_GB2312"/>
          <w:bCs w:val="0"/>
        </w:rPr>
        <w:t>工业技术改造</w:t>
      </w:r>
      <w:bookmarkEnd w:id="82"/>
    </w:p>
    <w:p w14:paraId="46C9F210">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鼓励企业开展技术改造。推动花都工业企业实施又一轮技术改造，继续推进“三个一批”项目申报工作，做好对已申报企业的跟踪服务工作及对未申报企业的指导推荐工作，鼓励企业申报项目，争取政策支持。加强部门联动和信息沟通，提升对工业企业技改开展情况的全面掌控能力，积极向上级争取项目用地和财政专项资金等政策资源，支持皮具、珠宝、化妆品、服装、音响、光电等传统产业运用互联网、大数据、人工智能等技术进行优化升级，延伸产业链条，增加产业附加值，逐步向价值链中高端攀升。</w:t>
      </w:r>
    </w:p>
    <w:p w14:paraId="35E4370C">
      <w:pPr>
        <w:pStyle w:val="2"/>
        <w:spacing w:before="0" w:after="0" w:line="560" w:lineRule="exact"/>
        <w:ind w:firstLine="643" w:firstLineChars="200"/>
        <w:rPr>
          <w:rFonts w:ascii="楷体_GB2312" w:hAnsi="仿宋" w:eastAsia="楷体_GB2312"/>
        </w:rPr>
      </w:pPr>
      <w:bookmarkStart w:id="83" w:name="_Toc76826156"/>
      <w:r>
        <w:rPr>
          <w:rFonts w:ascii="楷体_GB2312" w:hAnsi="仿宋" w:eastAsia="楷体_GB2312"/>
        </w:rPr>
        <w:t>（二）加快发展服务型制造</w:t>
      </w:r>
      <w:bookmarkEnd w:id="83"/>
    </w:p>
    <w:p w14:paraId="0711924C">
      <w:pPr>
        <w:pStyle w:val="4"/>
        <w:spacing w:before="0" w:after="0" w:line="560" w:lineRule="exact"/>
        <w:ind w:firstLine="643" w:firstLineChars="200"/>
        <w:rPr>
          <w:rFonts w:ascii="仿宋_GB2312" w:hAnsi="Times New Roman" w:eastAsia="仿宋_GB2312"/>
          <w:bCs w:val="0"/>
        </w:rPr>
      </w:pPr>
      <w:bookmarkStart w:id="84" w:name="_Toc76826157"/>
      <w:r>
        <w:rPr>
          <w:rFonts w:ascii="仿宋_GB2312" w:hAnsi="Times New Roman" w:eastAsia="仿宋_GB2312"/>
          <w:bCs w:val="0"/>
        </w:rPr>
        <w:t>1</w:t>
      </w:r>
      <w:r>
        <w:rPr>
          <w:rFonts w:hint="eastAsia" w:ascii="仿宋_GB2312" w:hAnsi="Times New Roman" w:eastAsia="仿宋_GB2312"/>
          <w:bCs w:val="0"/>
        </w:rPr>
        <w:t>.</w:t>
      </w:r>
      <w:r>
        <w:rPr>
          <w:rFonts w:ascii="仿宋_GB2312" w:hAnsi="Times New Roman" w:eastAsia="仿宋_GB2312"/>
          <w:bCs w:val="0"/>
        </w:rPr>
        <w:t>开展服务型制造示范试点</w:t>
      </w:r>
      <w:bookmarkEnd w:id="84"/>
    </w:p>
    <w:p w14:paraId="429F55E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充分发挥示范效应，促进全区制造业与服务业深度融合，推动服务型制造业发展。聚焦供应链管理、产品全生命周期管理、总集成总承包服务和信息增值服务, 鼓励和支持皮具箱包、化妆品产业等消费性制造业，以及汽车、电子信息、生物医药等企业，大力发展基于工业互联网、人工智能的服务型制造新模式，筛选创新能力及效益明显、服务为纽带与产业链上下游融合较好、工业化和信息化深度融合的企业、项目和平台，开展区级服务型制造业示范试点，支持相关试点企业、项目和平台申报省市试点、工信部试点。</w:t>
      </w:r>
    </w:p>
    <w:p w14:paraId="6A9BBB16">
      <w:pPr>
        <w:pStyle w:val="4"/>
        <w:spacing w:before="0" w:after="0" w:line="560" w:lineRule="exact"/>
        <w:ind w:firstLine="643" w:firstLineChars="200"/>
        <w:rPr>
          <w:rFonts w:ascii="仿宋_GB2312" w:hAnsi="Times New Roman" w:eastAsia="仿宋_GB2312"/>
          <w:bCs w:val="0"/>
        </w:rPr>
      </w:pPr>
      <w:bookmarkStart w:id="85" w:name="_Toc76826158"/>
      <w:r>
        <w:rPr>
          <w:rFonts w:hint="eastAsia" w:ascii="仿宋_GB2312" w:hAnsi="Times New Roman" w:eastAsia="仿宋_GB2312"/>
          <w:bCs w:val="0"/>
        </w:rPr>
        <w:t>2.</w:t>
      </w:r>
      <w:r>
        <w:rPr>
          <w:rFonts w:ascii="仿宋_GB2312" w:hAnsi="Times New Roman" w:eastAsia="仿宋_GB2312"/>
          <w:bCs w:val="0"/>
        </w:rPr>
        <w:t>加强设计引领</w:t>
      </w:r>
      <w:bookmarkEnd w:id="85"/>
    </w:p>
    <w:p w14:paraId="4FC4A2F9">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加强工业设计创新及成果产业化，鼓励发展网络协同设计、众包设计、云设计等新兴设计模式，增强我区工业设计创新力，促进工业转型升级。鼓励和引导工业企业加强工业设计中心建设，促进工业设计创新发展；鼓励和组织企业积极申报省市级工业设计中心、工业设计企业，加大对天谱电器、达森灯光、德恒汽车、远能物流等已获得认定单位的扶持力度，做好后续管理和服务工作。</w:t>
      </w:r>
    </w:p>
    <w:p w14:paraId="14A058B0">
      <w:pPr>
        <w:pStyle w:val="4"/>
        <w:spacing w:before="0" w:after="0" w:line="560" w:lineRule="exact"/>
        <w:ind w:firstLine="643" w:firstLineChars="200"/>
        <w:rPr>
          <w:rFonts w:ascii="仿宋_GB2312" w:hAnsi="Times New Roman" w:eastAsia="仿宋_GB2312"/>
          <w:bCs w:val="0"/>
        </w:rPr>
      </w:pPr>
      <w:bookmarkStart w:id="86" w:name="_Toc76826159"/>
      <w:r>
        <w:rPr>
          <w:rFonts w:ascii="仿宋_GB2312" w:hAnsi="Times New Roman" w:eastAsia="仿宋_GB2312"/>
          <w:bCs w:val="0"/>
        </w:rPr>
        <w:t>3</w:t>
      </w:r>
      <w:r>
        <w:rPr>
          <w:rFonts w:hint="eastAsia" w:ascii="仿宋_GB2312" w:hAnsi="Times New Roman" w:eastAsia="仿宋_GB2312"/>
          <w:bCs w:val="0"/>
        </w:rPr>
        <w:t>.</w:t>
      </w:r>
      <w:r>
        <w:rPr>
          <w:rFonts w:ascii="仿宋_GB2312" w:hAnsi="Times New Roman" w:eastAsia="仿宋_GB2312"/>
          <w:bCs w:val="0"/>
        </w:rPr>
        <w:t>加快“定制之都”</w:t>
      </w:r>
      <w:r>
        <w:rPr>
          <w:rFonts w:hint="eastAsia" w:ascii="仿宋_GB2312" w:hAnsi="Times New Roman" w:eastAsia="仿宋_GB2312"/>
          <w:bCs w:val="0"/>
        </w:rPr>
        <w:t>先行示范区建设</w:t>
      </w:r>
      <w:bookmarkEnd w:id="86"/>
    </w:p>
    <w:p w14:paraId="583027CA">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围绕</w:t>
      </w:r>
      <w:r>
        <w:rPr>
          <w:rFonts w:hint="eastAsia" w:ascii="仿宋_GB2312" w:hAnsi="仿宋" w:eastAsia="仿宋_GB2312" w:cs="Times New Roman"/>
          <w:sz w:val="32"/>
          <w:szCs w:val="32"/>
        </w:rPr>
        <w:t>花都作为“中国美都”的战略定位，在</w:t>
      </w:r>
      <w:r>
        <w:rPr>
          <w:rFonts w:ascii="仿宋_GB2312" w:hAnsi="仿宋" w:eastAsia="仿宋_GB2312" w:cs="Times New Roman"/>
          <w:sz w:val="32"/>
          <w:szCs w:val="32"/>
        </w:rPr>
        <w:t>汽车、</w:t>
      </w:r>
      <w:r>
        <w:rPr>
          <w:rFonts w:hint="eastAsia" w:ascii="仿宋_GB2312" w:hAnsi="仿宋" w:eastAsia="仿宋_GB2312" w:cs="Times New Roman"/>
          <w:sz w:val="32"/>
          <w:szCs w:val="32"/>
        </w:rPr>
        <w:t>灯光音响、</w:t>
      </w:r>
      <w:r>
        <w:rPr>
          <w:rFonts w:ascii="仿宋_GB2312" w:hAnsi="仿宋" w:eastAsia="仿宋_GB2312" w:cs="Times New Roman"/>
          <w:sz w:val="32"/>
          <w:szCs w:val="32"/>
        </w:rPr>
        <w:t>时尚服饰、智能终端等重点领域，培育具有国际竞争力的规模化个性定制龙头骨干企业，打造集总部经济、展示体验为一体的产业集聚园区。</w:t>
      </w:r>
      <w:r>
        <w:rPr>
          <w:rFonts w:hint="eastAsia" w:ascii="仿宋_GB2312" w:hAnsi="仿宋" w:eastAsia="仿宋_GB2312" w:cs="Times New Roman"/>
          <w:sz w:val="32"/>
          <w:szCs w:val="32"/>
        </w:rPr>
        <w:t>推动阿里、京东、抖音、快手、唯品会等各运营商与“中国美都”的产业集群合作，探索网红直播、工业互联网、大数据、云计算、区块链结合实体企业，打造“中国美都”平台化的数字经济产业园链。推动直播平台参与产品研发设计等环节，推出具有广州特色的“网红定制”服务，为广州打造“定制之都”探索新模式、新路子，起到真正的示范带动作用。</w:t>
      </w:r>
    </w:p>
    <w:p w14:paraId="68FCE098">
      <w:pPr>
        <w:pStyle w:val="4"/>
        <w:spacing w:before="0" w:after="0" w:line="560" w:lineRule="exact"/>
        <w:ind w:firstLine="643" w:firstLineChars="200"/>
        <w:rPr>
          <w:rFonts w:ascii="仿宋_GB2312" w:hAnsi="Times New Roman" w:eastAsia="仿宋_GB2312"/>
          <w:bCs w:val="0"/>
        </w:rPr>
      </w:pPr>
      <w:bookmarkStart w:id="87" w:name="_Toc76826160"/>
      <w:r>
        <w:rPr>
          <w:rFonts w:ascii="仿宋_GB2312" w:hAnsi="Times New Roman" w:eastAsia="仿宋_GB2312"/>
          <w:bCs w:val="0"/>
        </w:rPr>
        <w:t>4</w:t>
      </w:r>
      <w:r>
        <w:rPr>
          <w:rFonts w:hint="eastAsia" w:ascii="仿宋_GB2312" w:hAnsi="Times New Roman" w:eastAsia="仿宋_GB2312"/>
          <w:bCs w:val="0"/>
        </w:rPr>
        <w:t>.加快制造业电子商务应用</w:t>
      </w:r>
      <w:bookmarkEnd w:id="87"/>
    </w:p>
    <w:p w14:paraId="2B3D141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加快培育和指导制造业直播电商基地，加快推进建设以箱包皮具为特色的圣地环贸港箱包直播基地；加快</w:t>
      </w:r>
      <w:r>
        <w:rPr>
          <w:rFonts w:ascii="仿宋_GB2312" w:hAnsi="仿宋" w:eastAsia="仿宋_GB2312" w:cs="Times New Roman"/>
          <w:sz w:val="32"/>
          <w:szCs w:val="32"/>
        </w:rPr>
        <w:t>培育和建设</w:t>
      </w:r>
      <w:r>
        <w:rPr>
          <w:rFonts w:hint="eastAsia" w:ascii="仿宋_GB2312" w:hAnsi="仿宋" w:eastAsia="仿宋_GB2312" w:cs="Times New Roman"/>
          <w:sz w:val="32"/>
          <w:szCs w:val="32"/>
        </w:rPr>
        <w:t>以综合服务、箱包高端设计为特色的狮岭阳光6号电商直播基地，以美妆为特色的思埠直播基地，以时尚产业、秀演、综合服务、仓储物流为特色的富力环贸港直播基地。吸引外地龙头企业（或电商平台）入驻直播基地，打造以直播基地引导的直播电商产业园，重点推进圣地狮岭皮革皮具电子商务产业园、聚包包电子商务产业园建设。开展直播电商知识普及、人才培训、技能大赛、联合直播平台举办直播带货等一系列活动，探索适合花都直播电商发展的模式。大力提升金融服务实体经济水平，支持大型电子商务企业在区内设立供应链金融总部，加快推进京东湾区电子商务运营结算总部项目建设，支持区内企业上市发展，引进拟上市企业到花都落户。</w:t>
      </w:r>
    </w:p>
    <w:p w14:paraId="072F8438">
      <w:pPr>
        <w:pStyle w:val="2"/>
        <w:spacing w:before="0" w:after="0" w:line="560" w:lineRule="exact"/>
        <w:ind w:firstLine="643" w:firstLineChars="200"/>
        <w:rPr>
          <w:rFonts w:ascii="楷体_GB2312" w:hAnsi="仿宋" w:eastAsia="楷体_GB2312"/>
        </w:rPr>
      </w:pPr>
      <w:bookmarkStart w:id="88" w:name="_Toc76826161"/>
      <w:r>
        <w:rPr>
          <w:rFonts w:ascii="楷体_GB2312" w:hAnsi="仿宋" w:eastAsia="楷体_GB2312"/>
        </w:rPr>
        <w:t>（三）激发企业活力</w:t>
      </w:r>
      <w:bookmarkEnd w:id="88"/>
    </w:p>
    <w:p w14:paraId="62CA7A83">
      <w:pPr>
        <w:pStyle w:val="4"/>
        <w:spacing w:before="0" w:after="0" w:line="560" w:lineRule="exact"/>
        <w:ind w:firstLine="643" w:firstLineChars="200"/>
        <w:rPr>
          <w:rFonts w:ascii="仿宋_GB2312" w:hAnsi="Times New Roman" w:eastAsia="仿宋_GB2312"/>
          <w:bCs w:val="0"/>
        </w:rPr>
      </w:pPr>
      <w:bookmarkStart w:id="89" w:name="_Toc76826162"/>
      <w:r>
        <w:rPr>
          <w:rFonts w:ascii="仿宋_GB2312" w:hAnsi="Times New Roman" w:eastAsia="仿宋_GB2312"/>
          <w:bCs w:val="0"/>
        </w:rPr>
        <w:t>1</w:t>
      </w:r>
      <w:r>
        <w:rPr>
          <w:rFonts w:hint="eastAsia" w:ascii="仿宋_GB2312" w:hAnsi="Times New Roman" w:eastAsia="仿宋_GB2312"/>
          <w:bCs w:val="0"/>
        </w:rPr>
        <w:t>.完善创新创业环境</w:t>
      </w:r>
      <w:bookmarkEnd w:id="89"/>
    </w:p>
    <w:p w14:paraId="2DD1D62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建立健全公平、公开透明、可预期的创新政策环境。加强创新导向的普惠性政策，切实落实减税降费政策，支持企业技术创新和传统产业改造。加强需求导向政策，为创新企业疏通市场渠道。发展多层次资本市场，适应创新链各环节的资金需求。建立激励创新、包容审慎的市场监管体系。进一步完善标准、检验检测和认证体系，以环境、安全、质量等标准为市场准入和监管的手段，提高制造业发展质量，促进技术进步和推广新技术。对新产品、新模式和新产业，允许先行先试，加强事中事后监管，及时总结经验，掌握规律，逐步规范。严格公平执法，为各种所有制、各种规模、各种技术路线的企业提供平等获得创新资源和参与市场竞争的机会，真正形成优胜劣汰的竞争机制。持续深化人才发展体制机制改革，实施更加积极、更加开放、更加有效的灵活人才政策。</w:t>
      </w:r>
    </w:p>
    <w:p w14:paraId="799167ED">
      <w:pPr>
        <w:pStyle w:val="4"/>
        <w:spacing w:before="0" w:after="0" w:line="560" w:lineRule="exact"/>
        <w:ind w:firstLine="643" w:firstLineChars="200"/>
        <w:rPr>
          <w:rFonts w:ascii="仿宋_GB2312" w:hAnsi="Times New Roman" w:eastAsia="仿宋_GB2312"/>
          <w:bCs w:val="0"/>
        </w:rPr>
      </w:pPr>
      <w:bookmarkStart w:id="90" w:name="_Toc76826163"/>
      <w:r>
        <w:rPr>
          <w:rFonts w:ascii="仿宋_GB2312" w:hAnsi="Times New Roman" w:eastAsia="仿宋_GB2312"/>
          <w:bCs w:val="0"/>
        </w:rPr>
        <w:t>2</w:t>
      </w:r>
      <w:r>
        <w:rPr>
          <w:rFonts w:hint="eastAsia" w:ascii="仿宋_GB2312" w:hAnsi="Times New Roman" w:eastAsia="仿宋_GB2312"/>
          <w:bCs w:val="0"/>
        </w:rPr>
        <w:t>.</w:t>
      </w:r>
      <w:r>
        <w:rPr>
          <w:rFonts w:ascii="仿宋_GB2312" w:hAnsi="Times New Roman" w:eastAsia="仿宋_GB2312"/>
          <w:bCs w:val="0"/>
        </w:rPr>
        <w:t>积极培育创新型企业</w:t>
      </w:r>
      <w:bookmarkEnd w:id="90"/>
    </w:p>
    <w:p w14:paraId="0C01EDDC">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持续实施科技创新企业做优做强做大行动、高新技术企业树标提质行动和“鲲鹏计划”，培育一批龙头科技企业。加强“专精特新”“升规纳统”企业梯度培育力度。推行省高新技术企业培育政策，充分利用高新技术企业培育库和财政奖补政策，引导花都科技型中小微企业申报认定高新技术企业和申报高新技术企业培育库企业,实现高新技术企业数量和质量双提升。</w:t>
      </w:r>
      <w:r>
        <w:rPr>
          <w:rFonts w:ascii="仿宋_GB2312" w:hAnsi="仿宋" w:eastAsia="仿宋_GB2312" w:cs="Times New Roman"/>
          <w:sz w:val="32"/>
          <w:szCs w:val="32"/>
        </w:rPr>
        <w:t xml:space="preserve"> </w:t>
      </w:r>
    </w:p>
    <w:p w14:paraId="71A9797C">
      <w:pPr>
        <w:pStyle w:val="4"/>
        <w:spacing w:before="0" w:after="0" w:line="560" w:lineRule="exact"/>
        <w:ind w:firstLine="643" w:firstLineChars="200"/>
        <w:rPr>
          <w:rFonts w:ascii="仿宋_GB2312" w:hAnsi="Times New Roman" w:eastAsia="仿宋_GB2312"/>
          <w:bCs w:val="0"/>
        </w:rPr>
      </w:pPr>
      <w:bookmarkStart w:id="91" w:name="_Toc76826164"/>
      <w:r>
        <w:rPr>
          <w:rFonts w:hint="eastAsia" w:ascii="仿宋_GB2312" w:hAnsi="Times New Roman" w:eastAsia="仿宋_GB2312"/>
          <w:bCs w:val="0"/>
        </w:rPr>
        <w:t>3.切实保护知识产权</w:t>
      </w:r>
      <w:bookmarkEnd w:id="91"/>
    </w:p>
    <w:p w14:paraId="37E3EFB7">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进一步实施知识产权运用保护, 发挥区内</w:t>
      </w:r>
      <w:r>
        <w:rPr>
          <w:rFonts w:ascii="仿宋_GB2312" w:hAnsi="仿宋" w:eastAsia="仿宋_GB2312" w:cs="Times New Roman"/>
          <w:sz w:val="32"/>
          <w:szCs w:val="32"/>
        </w:rPr>
        <w:t>重点企业</w:t>
      </w:r>
      <w:r>
        <w:rPr>
          <w:rFonts w:hint="eastAsia" w:ascii="仿宋_GB2312" w:hAnsi="仿宋" w:eastAsia="仿宋_GB2312" w:cs="Times New Roman"/>
          <w:sz w:val="32"/>
          <w:szCs w:val="32"/>
        </w:rPr>
        <w:t>国家知识产权示范企业和优势企业等引领示范作用，积极发动制造业企业申报各级知识产权项目和资金扶持。加大以化妆品、皮革皮具、光电、智能装备等龙头企业、自主品牌、区域品牌、特色品牌和国际化品牌为重点的品牌创建培育及保护力度。支持重点龙头企业发起建立专利联盟和构建专利池。推进行业协会、产业园区、孵化器、创客空间等建立知识产权工作部，强化制造业重点领域知识产权行政执法，严厉打击网络侵权假冒工作，加强电子数据取证、存证、鉴定能力和生态建设，积极运用新技术手段支撑知识产权保护工作，推动建设知识产权海外保护与维权体系，依法保护企业的知识产权合法权益。</w:t>
      </w:r>
    </w:p>
    <w:p w14:paraId="0FDA116C">
      <w:pPr>
        <w:spacing w:line="560" w:lineRule="exact"/>
        <w:ind w:firstLine="640" w:firstLineChars="200"/>
        <w:rPr>
          <w:rFonts w:ascii="仿宋" w:hAnsi="仿宋" w:eastAsia="仿宋" w:cs="Times New Roman"/>
          <w:sz w:val="32"/>
          <w:szCs w:val="32"/>
        </w:rPr>
      </w:pPr>
    </w:p>
    <w:p w14:paraId="139F0F6F">
      <w:pPr>
        <w:pStyle w:val="3"/>
        <w:spacing w:before="0" w:after="0" w:line="560" w:lineRule="exact"/>
        <w:rPr>
          <w:rFonts w:ascii="黑体" w:hAnsi="黑体" w:eastAsia="黑体"/>
          <w:b w:val="0"/>
          <w:sz w:val="32"/>
          <w:szCs w:val="32"/>
        </w:rPr>
      </w:pPr>
      <w:bookmarkStart w:id="92" w:name="_Toc76826165"/>
      <w:r>
        <w:rPr>
          <w:rFonts w:hint="eastAsia" w:ascii="黑体" w:hAnsi="黑体" w:eastAsia="黑体"/>
          <w:b w:val="0"/>
          <w:sz w:val="32"/>
          <w:szCs w:val="32"/>
        </w:rPr>
        <w:t>八、深化开放合作</w:t>
      </w:r>
      <w:bookmarkEnd w:id="92"/>
    </w:p>
    <w:p w14:paraId="1A9BD2A0">
      <w:pPr>
        <w:pStyle w:val="2"/>
        <w:spacing w:before="0" w:after="0" w:line="560" w:lineRule="exact"/>
        <w:ind w:firstLine="643" w:firstLineChars="200"/>
        <w:rPr>
          <w:rFonts w:ascii="楷体_GB2312" w:hAnsi="仿宋" w:eastAsia="楷体_GB2312"/>
        </w:rPr>
      </w:pPr>
      <w:bookmarkStart w:id="93" w:name="_Toc76826166"/>
      <w:r>
        <w:rPr>
          <w:rFonts w:ascii="楷体_GB2312" w:hAnsi="仿宋" w:eastAsia="楷体_GB2312"/>
        </w:rPr>
        <w:t>（一）</w:t>
      </w:r>
      <w:r>
        <w:rPr>
          <w:rFonts w:hint="eastAsia" w:ascii="楷体_GB2312" w:hAnsi="仿宋" w:eastAsia="楷体_GB2312"/>
        </w:rPr>
        <w:t>积极融入粤港澳大湾区先进制造业基地建设</w:t>
      </w:r>
      <w:bookmarkEnd w:id="93"/>
    </w:p>
    <w:p w14:paraId="75E772E7">
      <w:pPr>
        <w:pStyle w:val="4"/>
        <w:spacing w:before="0" w:after="0" w:line="560" w:lineRule="exact"/>
        <w:ind w:firstLine="643" w:firstLineChars="200"/>
        <w:rPr>
          <w:rFonts w:ascii="仿宋_GB2312" w:hAnsi="Times New Roman" w:eastAsia="仿宋_GB2312"/>
          <w:bCs w:val="0"/>
        </w:rPr>
      </w:pPr>
      <w:bookmarkStart w:id="94" w:name="_Toc76826167"/>
      <w:r>
        <w:rPr>
          <w:rFonts w:ascii="仿宋_GB2312" w:hAnsi="Times New Roman" w:eastAsia="仿宋_GB2312"/>
          <w:bCs w:val="0"/>
        </w:rPr>
        <w:t>1</w:t>
      </w:r>
      <w:r>
        <w:rPr>
          <w:rFonts w:hint="eastAsia" w:ascii="仿宋_GB2312" w:hAnsi="Times New Roman" w:eastAsia="仿宋_GB2312"/>
          <w:bCs w:val="0"/>
        </w:rPr>
        <w:t>.</w:t>
      </w:r>
      <w:r>
        <w:rPr>
          <w:rFonts w:hint="eastAsia" w:ascii="仿宋" w:hAnsi="仿宋" w:eastAsia="仿宋" w:cs="Times New Roman"/>
        </w:rPr>
        <w:t xml:space="preserve"> 强化打造粤港澳大湾区先进制造业集聚区</w:t>
      </w:r>
      <w:bookmarkEnd w:id="94"/>
    </w:p>
    <w:p w14:paraId="3FB4D8B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以打造大湾区北部空铁融合发展示范区为抓手，加快广州白云国际机场扩建和广州北站能级提升，</w:t>
      </w:r>
      <w:r>
        <w:rPr>
          <w:rFonts w:ascii="仿宋_GB2312" w:hAnsi="仿宋" w:eastAsia="仿宋_GB2312" w:cs="Times New Roman"/>
          <w:sz w:val="32"/>
          <w:szCs w:val="32"/>
        </w:rPr>
        <w:t>构建空铁联运</w:t>
      </w:r>
      <w:r>
        <w:rPr>
          <w:rFonts w:hint="eastAsia" w:ascii="仿宋_GB2312" w:hAnsi="仿宋" w:eastAsia="仿宋_GB2312" w:cs="Times New Roman"/>
          <w:sz w:val="32"/>
          <w:szCs w:val="32"/>
        </w:rPr>
        <w:t>交通</w:t>
      </w:r>
      <w:r>
        <w:rPr>
          <w:rFonts w:ascii="仿宋_GB2312" w:hAnsi="仿宋" w:eastAsia="仿宋_GB2312" w:cs="Times New Roman"/>
          <w:sz w:val="32"/>
          <w:szCs w:val="32"/>
        </w:rPr>
        <w:t>体系</w:t>
      </w:r>
      <w:r>
        <w:rPr>
          <w:rFonts w:hint="eastAsia" w:ascii="仿宋_GB2312" w:hAnsi="仿宋" w:eastAsia="仿宋_GB2312" w:cs="Times New Roman"/>
          <w:sz w:val="32"/>
          <w:szCs w:val="32"/>
        </w:rPr>
        <w:t>。依托广深港澳科技创新走廊的科研资源优势和高新技术产业基础，加快形成一批产值规模超千亿元的战略性新兴产业集群，深度融入粤港澳大湾区产业生态链。发挥交通运输装备制造、智能电子、航空修造、灯光音响、皮革皮具、时尚服饰等先进制造产业优势，加快建设“两千亿级汽车产业集群”“千亿级智能电子产业集群”和“临空高科技产业集群”，强化立足湾区、面向世界的先进制造业基地地位</w:t>
      </w:r>
      <w:r>
        <w:rPr>
          <w:rFonts w:ascii="仿宋_GB2312" w:hAnsi="仿宋" w:eastAsia="仿宋_GB2312" w:cs="Times New Roman"/>
          <w:sz w:val="32"/>
          <w:szCs w:val="32"/>
        </w:rPr>
        <w:t>。</w:t>
      </w:r>
    </w:p>
    <w:p w14:paraId="341DE334">
      <w:pPr>
        <w:pStyle w:val="4"/>
        <w:spacing w:before="0" w:after="0" w:line="560" w:lineRule="exact"/>
        <w:ind w:firstLine="643" w:firstLineChars="200"/>
        <w:rPr>
          <w:rFonts w:ascii="仿宋_GB2312" w:hAnsi="Times New Roman" w:eastAsia="仿宋_GB2312"/>
        </w:rPr>
      </w:pPr>
      <w:bookmarkStart w:id="95" w:name="_Toc76826168"/>
      <w:r>
        <w:rPr>
          <w:rFonts w:ascii="仿宋_GB2312" w:hAnsi="Times New Roman" w:eastAsia="仿宋_GB2312"/>
          <w:bCs w:val="0"/>
        </w:rPr>
        <w:t xml:space="preserve">2. </w:t>
      </w:r>
      <w:r>
        <w:rPr>
          <w:rFonts w:hint="eastAsia" w:ascii="仿宋_GB2312" w:hAnsi="Times New Roman" w:eastAsia="仿宋_GB2312"/>
          <w:bCs w:val="0"/>
        </w:rPr>
        <w:t>打造大湾区制造业创新发展试验区</w:t>
      </w:r>
      <w:bookmarkEnd w:id="95"/>
    </w:p>
    <w:p w14:paraId="30E76B5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全面对接粤港澳大湾区科技创新。积极打造“广深港澳”科技创新走廊核心功能区，加快形成“世界科技＋花都智造+全球市场”的创新发展新模式。主动对接中新知识城，优化科技走廊功能，深度融入广深科技创新走廊，有机融入粤港澳大湾区国家科技创新中心创新发展格局，建设广深港澳创新走廊重要支点。利用区位和空港枢纽优势，依托花都区临空高科技产业园和科技产业孵化园区，积极争取中新知识城科技创新成果在花都落地转化，促进知识产业化，产业数字化，率先探索实践知识应用新场景和知识密集型经济新业态、新模式，建设粤港澳大湾区知识创新成果转化地。</w:t>
      </w:r>
    </w:p>
    <w:p w14:paraId="37B36A2E">
      <w:pPr>
        <w:pStyle w:val="4"/>
        <w:spacing w:before="0" w:after="0" w:line="560" w:lineRule="exact"/>
        <w:ind w:firstLine="643" w:firstLineChars="200"/>
        <w:rPr>
          <w:rFonts w:ascii="仿宋_GB2312" w:hAnsi="Times New Roman" w:eastAsia="仿宋_GB2312"/>
        </w:rPr>
      </w:pPr>
      <w:bookmarkStart w:id="96" w:name="_Toc76826169"/>
      <w:r>
        <w:rPr>
          <w:rFonts w:ascii="仿宋_GB2312" w:hAnsi="Times New Roman" w:eastAsia="仿宋_GB2312"/>
          <w:bCs w:val="0"/>
        </w:rPr>
        <w:t>3.</w:t>
      </w:r>
      <w:r>
        <w:rPr>
          <w:rFonts w:hint="eastAsia" w:ascii="仿宋_GB2312" w:hAnsi="Times New Roman" w:eastAsia="仿宋_GB2312"/>
          <w:bCs w:val="0"/>
        </w:rPr>
        <w:t>全力支持深圳先行示范区建设</w:t>
      </w:r>
      <w:bookmarkEnd w:id="96"/>
    </w:p>
    <w:p w14:paraId="159F4EA0">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 xml:space="preserve">全面建立两地要素资源协同体系和机制，借助深圳产业、创新、资金的强大辐射带动和输出能力，加强与深圳在科技创新、产业发展、金融服务等领域的合作。依托花都区与深圳在汽车、智能装备、电子信息等领域龙头企业的技术优势和产业基础，积极参与推进“广深惠”智能网联汽车产业集群、“广深佛莞”智能装备产业集群等建设，搭建产业公共服务平台，共同突破关键核心技术，加强数字新基建合作，推进传统基础设施数字化改造。 </w:t>
      </w:r>
    </w:p>
    <w:p w14:paraId="5FEAAD42">
      <w:pPr>
        <w:pStyle w:val="2"/>
        <w:spacing w:before="0" w:after="0" w:line="560" w:lineRule="exact"/>
        <w:ind w:firstLine="643" w:firstLineChars="200"/>
        <w:rPr>
          <w:rFonts w:ascii="楷体_GB2312" w:hAnsi="仿宋" w:eastAsia="楷体_GB2312"/>
        </w:rPr>
      </w:pPr>
      <w:bookmarkStart w:id="97" w:name="_Toc76826170"/>
      <w:r>
        <w:rPr>
          <w:rFonts w:ascii="楷体_GB2312" w:hAnsi="仿宋" w:eastAsia="楷体_GB2312"/>
        </w:rPr>
        <w:t>（二）积极推动构建</w:t>
      </w:r>
      <w:r>
        <w:rPr>
          <w:rFonts w:hint="eastAsia" w:ascii="楷体_GB2312" w:hAnsi="仿宋" w:eastAsia="楷体_GB2312"/>
        </w:rPr>
        <w:t>“一核一带一区”区域发展新格局</w:t>
      </w:r>
      <w:bookmarkEnd w:id="97"/>
    </w:p>
    <w:p w14:paraId="26DA1B69">
      <w:pPr>
        <w:pStyle w:val="4"/>
        <w:spacing w:before="0" w:after="0" w:line="560" w:lineRule="exact"/>
        <w:ind w:firstLine="643" w:firstLineChars="200"/>
        <w:rPr>
          <w:rFonts w:ascii="仿宋_GB2312" w:hAnsi="Times New Roman" w:eastAsia="仿宋_GB2312"/>
          <w:bCs w:val="0"/>
        </w:rPr>
      </w:pPr>
      <w:bookmarkStart w:id="98" w:name="_Toc76826171"/>
      <w:r>
        <w:rPr>
          <w:rFonts w:ascii="仿宋_GB2312" w:hAnsi="Times New Roman" w:eastAsia="仿宋_GB2312"/>
          <w:bCs w:val="0"/>
        </w:rPr>
        <w:t>1</w:t>
      </w:r>
      <w:r>
        <w:rPr>
          <w:rFonts w:hint="eastAsia" w:ascii="仿宋_GB2312" w:hAnsi="Times New Roman" w:eastAsia="仿宋_GB2312"/>
          <w:bCs w:val="0"/>
        </w:rPr>
        <w:t>.</w:t>
      </w:r>
      <w:r>
        <w:rPr>
          <w:rFonts w:ascii="仿宋_GB2312" w:hAnsi="Times New Roman" w:eastAsia="仿宋_GB2312"/>
          <w:bCs w:val="0"/>
        </w:rPr>
        <w:t>推进</w:t>
      </w:r>
      <w:r>
        <w:rPr>
          <w:rFonts w:hint="eastAsia" w:ascii="仿宋_GB2312" w:hAnsi="Times New Roman" w:eastAsia="仿宋_GB2312"/>
          <w:bCs w:val="0"/>
        </w:rPr>
        <w:t>广佛高质量融合发展试验区建设</w:t>
      </w:r>
      <w:bookmarkEnd w:id="98"/>
    </w:p>
    <w:p w14:paraId="67E3A978">
      <w:pPr>
        <w:spacing w:line="560" w:lineRule="exact"/>
        <w:ind w:firstLine="640" w:firstLineChars="200"/>
        <w:rPr>
          <w:rFonts w:ascii="仿宋_GB2312" w:hAnsi="仿宋" w:eastAsia="仿宋_GB2312" w:cs="Times New Roman"/>
          <w:sz w:val="32"/>
          <w:szCs w:val="32"/>
        </w:rPr>
      </w:pPr>
      <w:bookmarkStart w:id="99" w:name="_Toc4111"/>
      <w:bookmarkStart w:id="100" w:name="_Toc31492"/>
      <w:bookmarkStart w:id="101" w:name="_Toc24360"/>
      <w:bookmarkStart w:id="102" w:name="_Toc26811"/>
      <w:bookmarkStart w:id="103" w:name="_Toc46176424"/>
      <w:r>
        <w:rPr>
          <w:rFonts w:hint="eastAsia" w:ascii="仿宋_GB2312" w:hAnsi="仿宋" w:eastAsia="仿宋_GB2312" w:cs="Times New Roman"/>
          <w:sz w:val="32"/>
          <w:szCs w:val="32"/>
        </w:rPr>
        <w:t>落实《广佛高质量发展融合试验区建设总体规划》，围绕广佛共建“1+4”广佛高质量发展融合试验区总体布局，按照“花都-三水”试验区共建生态共享的新能源与智能网联汽车产业合作发展示范区的规划愿景，高水平推动广佛同城化建设任务部署，重点发挥花都汽车产业创新优势，加快新能源汽车、智能网联汽车的核心技术研发和应用推广，加强与佛山市三水区汽车零部件生产和研发的合作交流，带动广佛新能源与智能网联汽车产业合作发展示范区发展，提升大湾区汽车产业创新发展能力。</w:t>
      </w:r>
      <w:bookmarkEnd w:id="99"/>
      <w:bookmarkEnd w:id="100"/>
      <w:bookmarkEnd w:id="101"/>
      <w:bookmarkEnd w:id="102"/>
      <w:bookmarkEnd w:id="103"/>
      <w:r>
        <w:rPr>
          <w:rFonts w:hint="eastAsia" w:ascii="仿宋_GB2312" w:hAnsi="仿宋" w:eastAsia="仿宋_GB2312" w:cs="Times New Roman"/>
          <w:sz w:val="32"/>
          <w:szCs w:val="32"/>
        </w:rPr>
        <w:t xml:space="preserve"> </w:t>
      </w:r>
    </w:p>
    <w:p w14:paraId="6AED41FA">
      <w:pPr>
        <w:pStyle w:val="4"/>
        <w:spacing w:before="0" w:after="0" w:line="560" w:lineRule="exact"/>
        <w:ind w:firstLine="643" w:firstLineChars="200"/>
        <w:rPr>
          <w:rFonts w:ascii="仿宋_GB2312" w:hAnsi="Times New Roman" w:eastAsia="仿宋_GB2312"/>
          <w:bCs w:val="0"/>
        </w:rPr>
      </w:pPr>
      <w:bookmarkStart w:id="104" w:name="_Toc76826172"/>
      <w:r>
        <w:rPr>
          <w:rFonts w:ascii="仿宋_GB2312" w:hAnsi="Times New Roman" w:eastAsia="仿宋_GB2312"/>
          <w:bCs w:val="0"/>
        </w:rPr>
        <w:t>2</w:t>
      </w:r>
      <w:r>
        <w:rPr>
          <w:rFonts w:hint="eastAsia" w:ascii="仿宋_GB2312" w:hAnsi="Times New Roman" w:eastAsia="仿宋_GB2312"/>
          <w:bCs w:val="0"/>
        </w:rPr>
        <w:t>.强化广清产业协同发展</w:t>
      </w:r>
      <w:bookmarkEnd w:id="104"/>
    </w:p>
    <w:p w14:paraId="01A80BED">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深入落实省委、省政府《关于加快推进广清一体化高质量发展的工作方案》《广</w:t>
      </w:r>
      <w:r>
        <w:rPr>
          <w:rFonts w:ascii="仿宋_GB2312" w:hAnsi="仿宋" w:eastAsia="仿宋_GB2312" w:cs="Times New Roman"/>
          <w:sz w:val="32"/>
          <w:szCs w:val="32"/>
        </w:rPr>
        <w:t>清经济特别</w:t>
      </w:r>
      <w:r>
        <w:rPr>
          <w:rFonts w:hint="eastAsia" w:ascii="仿宋_GB2312" w:hAnsi="仿宋" w:eastAsia="仿宋_GB2312" w:cs="Times New Roman"/>
          <w:sz w:val="32"/>
          <w:szCs w:val="32"/>
        </w:rPr>
        <w:t>合作</w:t>
      </w:r>
      <w:r>
        <w:rPr>
          <w:rFonts w:ascii="仿宋_GB2312" w:hAnsi="仿宋" w:eastAsia="仿宋_GB2312" w:cs="Times New Roman"/>
          <w:sz w:val="32"/>
          <w:szCs w:val="32"/>
        </w:rPr>
        <w:t>区</w:t>
      </w:r>
      <w:r>
        <w:rPr>
          <w:rFonts w:hint="eastAsia" w:ascii="仿宋_GB2312" w:hAnsi="仿宋" w:eastAsia="仿宋_GB2312" w:cs="Times New Roman"/>
          <w:sz w:val="32"/>
          <w:szCs w:val="32"/>
        </w:rPr>
        <w:t>建设</w:t>
      </w:r>
      <w:r>
        <w:rPr>
          <w:rFonts w:ascii="仿宋_GB2312" w:hAnsi="仿宋" w:eastAsia="仿宋_GB2312" w:cs="Times New Roman"/>
          <w:sz w:val="32"/>
          <w:szCs w:val="32"/>
        </w:rPr>
        <w:t>总体方案》</w:t>
      </w:r>
      <w:r>
        <w:rPr>
          <w:rFonts w:hint="eastAsia" w:ascii="仿宋_GB2312" w:hAnsi="仿宋" w:eastAsia="仿宋_GB2312" w:cs="Times New Roman"/>
          <w:sz w:val="32"/>
          <w:szCs w:val="32"/>
        </w:rPr>
        <w:t>等</w:t>
      </w:r>
      <w:r>
        <w:rPr>
          <w:rFonts w:ascii="仿宋_GB2312" w:hAnsi="仿宋" w:eastAsia="仿宋_GB2312" w:cs="Times New Roman"/>
          <w:sz w:val="32"/>
          <w:szCs w:val="32"/>
        </w:rPr>
        <w:t>文件</w:t>
      </w:r>
      <w:r>
        <w:rPr>
          <w:rFonts w:hint="eastAsia" w:ascii="仿宋_GB2312" w:hAnsi="仿宋" w:eastAsia="仿宋_GB2312" w:cs="Times New Roman"/>
          <w:sz w:val="32"/>
          <w:szCs w:val="32"/>
        </w:rPr>
        <w:t>，坚持目标同向、整体联动、承接辐射、协同发力，发挥花都汽车、灯光音响、皮革皮具、珠宝先进制造业产业优势，加快推动广州花都（清新）产业转移工业园建设，积极产业转移和精准招商，促进广清汽车及零部件、箱包皮具、化妆品等产业合作，携手共建广清经济特别合作区。</w:t>
      </w:r>
    </w:p>
    <w:p w14:paraId="46E4FD36">
      <w:pPr>
        <w:pStyle w:val="2"/>
        <w:spacing w:before="0" w:after="0" w:line="560" w:lineRule="exact"/>
        <w:ind w:firstLine="643" w:firstLineChars="200"/>
        <w:rPr>
          <w:rFonts w:ascii="楷体_GB2312" w:hAnsi="仿宋" w:eastAsia="楷体_GB2312"/>
        </w:rPr>
      </w:pPr>
      <w:bookmarkStart w:id="105" w:name="_Toc76826173"/>
      <w:r>
        <w:rPr>
          <w:rFonts w:ascii="楷体_GB2312" w:hAnsi="仿宋" w:eastAsia="楷体_GB2312"/>
        </w:rPr>
        <w:t>（三）</w:t>
      </w:r>
      <w:r>
        <w:rPr>
          <w:rFonts w:ascii="仿宋_GB2312" w:hAnsi="Times New Roman" w:eastAsia="仿宋_GB2312" w:cstheme="minorBidi"/>
          <w:bCs w:val="0"/>
        </w:rPr>
        <w:t>加强与中新知识城</w:t>
      </w:r>
      <w:r>
        <w:rPr>
          <w:rFonts w:ascii="仿宋_GB2312" w:hAnsi="Times New Roman" w:eastAsia="仿宋_GB2312"/>
          <w:bCs w:val="0"/>
        </w:rPr>
        <w:t>制造业协同发展</w:t>
      </w:r>
      <w:bookmarkEnd w:id="105"/>
    </w:p>
    <w:p w14:paraId="18B31707">
      <w:pPr>
        <w:pStyle w:val="4"/>
        <w:spacing w:before="0" w:after="0" w:line="560" w:lineRule="exact"/>
        <w:ind w:firstLine="643" w:firstLineChars="200"/>
        <w:rPr>
          <w:rFonts w:ascii="仿宋_GB2312" w:hAnsi="Times New Roman" w:eastAsia="仿宋_GB2312"/>
        </w:rPr>
      </w:pPr>
      <w:bookmarkStart w:id="106" w:name="_Toc76826174"/>
      <w:r>
        <w:rPr>
          <w:rFonts w:ascii="仿宋_GB2312" w:hAnsi="Times New Roman" w:eastAsia="仿宋_GB2312"/>
          <w:bCs w:val="0"/>
        </w:rPr>
        <w:t>1.</w:t>
      </w:r>
      <w:r>
        <w:rPr>
          <w:rFonts w:hint="eastAsia" w:ascii="仿宋" w:hAnsi="仿宋" w:eastAsia="仿宋" w:cs="Times New Roman"/>
        </w:rPr>
        <w:t>承接共建智能制造产业</w:t>
      </w:r>
      <w:bookmarkEnd w:id="106"/>
    </w:p>
    <w:p w14:paraId="6D2F5F4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对接中新知识城发展知识密集型产业的战略定位，发挥花都汽车制造、装备制造发展优势，对接中新知识城重点打造新能源汽车、高端装备、智能传感器等智能制造产业体系，在新能源汽车、智能汽车、智能网联汽车、电子信息等领域加强技术创新和产业链供应链合作。</w:t>
      </w:r>
    </w:p>
    <w:p w14:paraId="5E4281D3">
      <w:pPr>
        <w:pStyle w:val="4"/>
        <w:spacing w:before="0" w:after="0" w:line="560" w:lineRule="exact"/>
        <w:ind w:firstLine="643" w:firstLineChars="200"/>
        <w:rPr>
          <w:rFonts w:ascii="仿宋_GB2312" w:hAnsi="Times New Roman" w:eastAsia="仿宋_GB2312"/>
        </w:rPr>
      </w:pPr>
      <w:bookmarkStart w:id="107" w:name="_Toc76826175"/>
      <w:r>
        <w:rPr>
          <w:rFonts w:ascii="仿宋_GB2312" w:hAnsi="Times New Roman" w:eastAsia="仿宋_GB2312"/>
          <w:bCs w:val="0"/>
        </w:rPr>
        <w:t>2.</w:t>
      </w:r>
      <w:r>
        <w:rPr>
          <w:rFonts w:hint="eastAsia" w:ascii="仿宋_GB2312" w:hAnsi="Times New Roman" w:eastAsia="仿宋_GB2312"/>
          <w:bCs w:val="0"/>
        </w:rPr>
        <w:t>加强生物医药产业合作</w:t>
      </w:r>
      <w:bookmarkEnd w:id="107"/>
    </w:p>
    <w:p w14:paraId="0A69E63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依托粤港澳大湾区生物医药产业园，发挥国家人类遗传资源共享服务平台粤港澳大湾区创新中心的人类遗传资源库优势，加强与中新知识城精准医疗和生物医药产业协同，带动花都生物医药集聚发展。</w:t>
      </w:r>
    </w:p>
    <w:p w14:paraId="7EB0658D">
      <w:pPr>
        <w:pStyle w:val="4"/>
        <w:spacing w:before="0" w:after="0" w:line="560" w:lineRule="exact"/>
        <w:ind w:firstLine="643" w:firstLineChars="200"/>
        <w:rPr>
          <w:rFonts w:ascii="仿宋_GB2312" w:hAnsi="Times New Roman" w:eastAsia="仿宋_GB2312"/>
        </w:rPr>
      </w:pPr>
      <w:bookmarkStart w:id="108" w:name="_Toc76826176"/>
      <w:r>
        <w:rPr>
          <w:rFonts w:ascii="仿宋_GB2312" w:hAnsi="Times New Roman" w:eastAsia="仿宋_GB2312"/>
          <w:bCs w:val="0"/>
        </w:rPr>
        <w:t>3.强化</w:t>
      </w:r>
      <w:r>
        <w:rPr>
          <w:rFonts w:hint="eastAsia" w:ascii="仿宋_GB2312" w:hAnsi="Times New Roman" w:eastAsia="仿宋_GB2312"/>
          <w:bCs w:val="0"/>
        </w:rPr>
        <w:t>数字经济合作</w:t>
      </w:r>
      <w:bookmarkEnd w:id="108"/>
    </w:p>
    <w:p w14:paraId="7445F32C">
      <w:pPr>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借助中新知识城建设国际数字枢纽的有利契机，利用其国际数据资源和服务平台，</w:t>
      </w:r>
      <w:r>
        <w:rPr>
          <w:rFonts w:hint="eastAsia" w:ascii="仿宋_GB2312" w:hAnsi="仿宋" w:eastAsia="仿宋_GB2312" w:cs="Times New Roman"/>
          <w:sz w:val="32"/>
          <w:szCs w:val="32"/>
        </w:rPr>
        <w:t>打通与粤港澳大湾区及国际的大数据流通，加强国际数字经济合作。</w:t>
      </w:r>
      <w:r>
        <w:rPr>
          <w:rFonts w:ascii="仿宋_GB2312" w:hAnsi="仿宋" w:eastAsia="仿宋_GB2312" w:cs="Times New Roman"/>
          <w:sz w:val="32"/>
          <w:szCs w:val="32"/>
        </w:rPr>
        <w:t>重点</w:t>
      </w:r>
      <w:r>
        <w:rPr>
          <w:rFonts w:hint="eastAsia" w:ascii="仿宋_GB2312" w:hAnsi="仿宋" w:eastAsia="仿宋_GB2312" w:cs="Times New Roman"/>
          <w:sz w:val="32"/>
          <w:szCs w:val="32"/>
        </w:rPr>
        <w:t>促进数字影视产业合作发展。发挥花都文化资源丰富和良好文化制造业发展基础，依托白云机场综合保税区、临空经济示范区、绿色金融改革创新试验区，积极推动文化产业和数字化技术相结合，以新媒体影视产业为特色，借力中新知识城研发设计资源和知识产业保护政策，与中新知识城联手建设粤港澳大湾区数字影视基地。</w:t>
      </w:r>
    </w:p>
    <w:p w14:paraId="6EAACDE7">
      <w:pPr>
        <w:pStyle w:val="2"/>
        <w:spacing w:before="0" w:after="0" w:line="560" w:lineRule="exact"/>
        <w:ind w:firstLine="643" w:firstLineChars="200"/>
        <w:rPr>
          <w:rFonts w:ascii="楷体_GB2312" w:hAnsi="仿宋" w:eastAsia="楷体_GB2312"/>
        </w:rPr>
      </w:pPr>
      <w:bookmarkStart w:id="109" w:name="_Toc76826177"/>
      <w:r>
        <w:rPr>
          <w:rFonts w:ascii="楷体_GB2312" w:hAnsi="仿宋" w:eastAsia="楷体_GB2312"/>
        </w:rPr>
        <w:t>（四）加大与国际社会合作力度</w:t>
      </w:r>
      <w:bookmarkEnd w:id="109"/>
    </w:p>
    <w:p w14:paraId="66E83719">
      <w:pPr>
        <w:pStyle w:val="4"/>
        <w:spacing w:before="0" w:after="0" w:line="560" w:lineRule="exact"/>
        <w:ind w:firstLine="643" w:firstLineChars="200"/>
        <w:rPr>
          <w:rFonts w:ascii="仿宋_GB2312" w:hAnsi="Times New Roman" w:eastAsia="仿宋_GB2312"/>
          <w:bCs w:val="0"/>
        </w:rPr>
      </w:pPr>
      <w:bookmarkStart w:id="110" w:name="_Toc76826178"/>
      <w:r>
        <w:rPr>
          <w:rFonts w:ascii="仿宋_GB2312" w:hAnsi="Times New Roman" w:eastAsia="仿宋_GB2312"/>
          <w:bCs w:val="0"/>
        </w:rPr>
        <w:t>1</w:t>
      </w:r>
      <w:r>
        <w:rPr>
          <w:rFonts w:hint="eastAsia" w:ascii="仿宋_GB2312" w:hAnsi="Times New Roman" w:eastAsia="仿宋_GB2312"/>
          <w:bCs w:val="0"/>
        </w:rPr>
        <w:t>.推动形成全面开放新格局</w:t>
      </w:r>
      <w:bookmarkEnd w:id="110"/>
    </w:p>
    <w:p w14:paraId="0F7A23B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积极响应国家“一带一路”倡议，在全球坐标体系下谋划开放布局，构建开放发展新优势。加快国家级市场采购贸易方式试点建设，探索便利化、规范化国际贸易管理服务新体制，扩大试点政策惠及面，培育发展跨境电商、融资租赁等新业态，继续做大市场采购贸易规模。大力引导企业参加中国进出口商品交易会、高交会等重点展会，深度开拓欧盟、日韩和“一带一路”沿线国家市场，拓展重要原材料、关键零部件、核心装备等进口来源，大力发展外贸新业态，带动外贸稳定增长。</w:t>
      </w:r>
    </w:p>
    <w:p w14:paraId="417089AD">
      <w:pPr>
        <w:pStyle w:val="4"/>
        <w:spacing w:before="0" w:after="0" w:line="560" w:lineRule="exact"/>
        <w:ind w:firstLine="643" w:firstLineChars="200"/>
        <w:rPr>
          <w:rFonts w:ascii="仿宋_GB2312" w:hAnsi="Times New Roman" w:eastAsia="仿宋_GB2312"/>
          <w:bCs w:val="0"/>
        </w:rPr>
      </w:pPr>
      <w:bookmarkStart w:id="111" w:name="_Toc76826179"/>
      <w:r>
        <w:rPr>
          <w:rFonts w:ascii="仿宋_GB2312" w:hAnsi="Times New Roman" w:eastAsia="仿宋_GB2312"/>
          <w:bCs w:val="0"/>
        </w:rPr>
        <w:t>2</w:t>
      </w:r>
      <w:r>
        <w:rPr>
          <w:rFonts w:hint="eastAsia" w:ascii="仿宋_GB2312" w:hAnsi="Times New Roman" w:eastAsia="仿宋_GB2312"/>
          <w:bCs w:val="0"/>
        </w:rPr>
        <w:t>.加快融入全球产业链和价值链</w:t>
      </w:r>
      <w:bookmarkEnd w:id="111"/>
    </w:p>
    <w:p w14:paraId="34AFCB2A">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 xml:space="preserve">支持引导制造业企业利用全球要素，优化资源配置，融入全球产业链和价值链，形成一批有效利用境外优质资产、先进技术、高端人才，积极输出优势产能、产品、品牌，开展广泛对外交流合作，核心竞争力显著提升的制造业中小企业。搭建制造业对外开放服务平台，积极发布对外投资的产业导向、国别指导政策，有效促进企业的国际化发展。聚焦重点产业，根据花都产业结构调整方向，对先进装备制造、“新一代信息、智能装备、生命健康、新能源和清洁能源、新材料等重点行业联合开展跨境专题撮合，积极引入先进技术和优质资产。加强与新加坡的合作。借助中新知识城与新加坡在人工智能、数字经济、科技创新、智慧城市等领域的深度合作，利用区位优势，以及国家跨境电子商务综合试验区、国家绿色金融改革创新试验区、国家市场采购贸易方式试点等等先行优势，吸引新加坡及全球科研机构和创新资源集聚花都。 </w:t>
      </w:r>
    </w:p>
    <w:p w14:paraId="4ED7EFD8">
      <w:pPr>
        <w:pStyle w:val="4"/>
        <w:spacing w:before="0" w:after="0" w:line="560" w:lineRule="exact"/>
        <w:ind w:firstLine="643" w:firstLineChars="200"/>
        <w:rPr>
          <w:rFonts w:ascii="仿宋_GB2312" w:hAnsi="Times New Roman" w:eastAsia="仿宋_GB2312"/>
          <w:bCs w:val="0"/>
        </w:rPr>
      </w:pPr>
      <w:bookmarkStart w:id="112" w:name="_Toc76826180"/>
      <w:r>
        <w:rPr>
          <w:rFonts w:ascii="仿宋_GB2312" w:hAnsi="Times New Roman" w:eastAsia="仿宋_GB2312"/>
          <w:bCs w:val="0"/>
        </w:rPr>
        <w:t>3</w:t>
      </w:r>
      <w:r>
        <w:rPr>
          <w:rFonts w:hint="eastAsia" w:ascii="仿宋_GB2312" w:hAnsi="Times New Roman" w:eastAsia="仿宋_GB2312"/>
          <w:bCs w:val="0"/>
        </w:rPr>
        <w:t>.</w:t>
      </w:r>
      <w:r>
        <w:rPr>
          <w:rFonts w:ascii="仿宋_GB2312" w:hAnsi="Times New Roman" w:eastAsia="仿宋_GB2312"/>
          <w:bCs w:val="0"/>
        </w:rPr>
        <w:t>加强海外拓展</w:t>
      </w:r>
      <w:bookmarkEnd w:id="112"/>
    </w:p>
    <w:p w14:paraId="1B1071AE">
      <w:pPr>
        <w:spacing w:line="560" w:lineRule="exact"/>
        <w:ind w:firstLine="640" w:firstLineChars="200"/>
        <w:rPr>
          <w:rFonts w:ascii="仿宋" w:hAnsi="仿宋" w:eastAsia="仿宋" w:cs="Times New Roman"/>
          <w:sz w:val="32"/>
          <w:szCs w:val="32"/>
        </w:rPr>
      </w:pPr>
      <w:r>
        <w:rPr>
          <w:rFonts w:hint="eastAsia" w:ascii="仿宋_GB2312" w:hAnsi="仿宋" w:eastAsia="仿宋_GB2312" w:cs="Times New Roman"/>
          <w:sz w:val="32"/>
          <w:szCs w:val="32"/>
        </w:rPr>
        <w:t>加强汽车、灯光音响、智能装备、时尚产业等行业优势企业对外投资国别产业指引，落实政府间保障机制，鼓励企业在境外进行投资、股权并购、合资合营、建立研发机构及承包工程等，鼓励企业引进国外高新技术企业、科研机构、高层次人才落户，提升企业整体发展实力。鼓励企业创新营销模式，深耕细分市场，利用电商平台等方式开拓海外市场，提高市场拓展效率。鼓励企业以全产业链方式推进国际化合作，在境外建立产业集聚区、工业园区、经贸合作区，通过平台型企业以大带小，发挥各自优势，抱团出海走出去。</w:t>
      </w:r>
    </w:p>
    <w:p w14:paraId="4ED6E6A1">
      <w:pPr>
        <w:pStyle w:val="3"/>
        <w:spacing w:before="0" w:after="0" w:line="560" w:lineRule="exact"/>
        <w:rPr>
          <w:rFonts w:ascii="黑体" w:hAnsi="黑体" w:eastAsia="黑体"/>
          <w:sz w:val="32"/>
          <w:szCs w:val="32"/>
        </w:rPr>
      </w:pPr>
      <w:bookmarkStart w:id="113" w:name="_Toc76826181"/>
      <w:r>
        <w:rPr>
          <w:rFonts w:hint="eastAsia" w:ascii="黑体" w:hAnsi="黑体" w:eastAsia="黑体"/>
          <w:b w:val="0"/>
          <w:sz w:val="32"/>
          <w:szCs w:val="32"/>
        </w:rPr>
        <w:t>九、强化要素支撑</w:t>
      </w:r>
      <w:bookmarkEnd w:id="113"/>
    </w:p>
    <w:p w14:paraId="7E596D04">
      <w:pPr>
        <w:pStyle w:val="2"/>
        <w:spacing w:before="0" w:after="0" w:line="560" w:lineRule="exact"/>
        <w:ind w:firstLine="643" w:firstLineChars="200"/>
        <w:rPr>
          <w:rFonts w:ascii="楷体_GB2312" w:hAnsi="仿宋" w:eastAsia="楷体_GB2312"/>
        </w:rPr>
      </w:pPr>
      <w:bookmarkStart w:id="114" w:name="_Toc76826182"/>
      <w:r>
        <w:rPr>
          <w:rFonts w:hint="eastAsia" w:ascii="楷体_GB2312" w:hAnsi="仿宋" w:eastAsia="楷体_GB2312"/>
        </w:rPr>
        <w:t>（一）加大财税支持力度</w:t>
      </w:r>
      <w:bookmarkEnd w:id="114"/>
    </w:p>
    <w:p w14:paraId="5959A3A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扩大“助保贷”资金规模，为企业提供孵化培育、创新发展、兼并重组、上市挂牌等不同发展阶段的债券融资、股权投资、融资担保、上市扶持等金融服务。设立区级先进制造业发展基金，争取设立大湾区（广州）产业协同发展基金，支持股权投资、创业投资、科技保险等机构在花都设立私募基金，支持先进制造业企业在科创板等上市。落实国家省市现有税收优惠政策，鼓励先进制造业项目增资扩产。落实关于高新技术企业所得税优惠、进口设备减免税、企业研发费用税前扣除等税收优惠政策。完善和落实支持创新的政府采购政策，推动先进制造业创新产品的研发和规模化应用。完善与先进制造业、新兴产业紧密相关的知识产权质押融资机制，探索开展知识产权融资租赁服务、知识产权投贷联动融资服务和知识产权证券化试点。培育引进更多风投创投机构，引导保险机构开发新型保险产品，支持区块链技术赋能先进制造业。</w:t>
      </w:r>
    </w:p>
    <w:p w14:paraId="76CF2083">
      <w:pPr>
        <w:pStyle w:val="2"/>
        <w:spacing w:before="0" w:after="0" w:line="560" w:lineRule="exact"/>
        <w:ind w:firstLine="643" w:firstLineChars="200"/>
        <w:rPr>
          <w:rFonts w:ascii="楷体_GB2312" w:hAnsi="仿宋" w:eastAsia="楷体_GB2312"/>
        </w:rPr>
      </w:pPr>
      <w:bookmarkStart w:id="115" w:name="_Toc76826183"/>
      <w:r>
        <w:rPr>
          <w:rFonts w:hint="eastAsia" w:ascii="楷体_GB2312" w:hAnsi="仿宋" w:eastAsia="楷体_GB2312"/>
        </w:rPr>
        <w:t>（二）提升绿色金融服务制造业能力</w:t>
      </w:r>
      <w:bookmarkEnd w:id="115"/>
    </w:p>
    <w:p w14:paraId="3FC93558">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充分发挥国家级绿色金融改革创新试验区的改革创新优势，持续创新完善绿色金融发展政策激励机制，深化绿色金融产品价值实现。在总结前期实施情况基础上，加强绿色金融基础设施建设，进一步优化、完善“1+4”政策体系，发挥试验区绿色金融的引领带动作用，发挥绿色产业基金的撬动作用，增强金融服务实体经济能力。增加绿色金融产品供给，深度开展绿色信贷、绿色债券、绿色保险等绿色金融业务，为企业提供绿色金融产品和服务创新；探索构建绿色信贷风险补偿及费用补贴机制，助力企业绿色化改造，积极支持节能环保新业态，加快发展清洁能源、资源循环利用等绿色产业项目。创新绿色企业和绿色项目认证机制，进一步完善产融对接机制，引导金融机构精准对接绿色企业、绿色项目的融资需求，设立绿色产业引导基金，提升、强化绿色金融服务绿色产业能力。完善与先进制造业、新兴产业紧密相关的知识产权质押融资机制，探索排污权抵押贷款模式。</w:t>
      </w:r>
    </w:p>
    <w:p w14:paraId="5D3F44B2">
      <w:pPr>
        <w:pStyle w:val="2"/>
        <w:spacing w:before="0" w:after="0" w:line="560" w:lineRule="exact"/>
        <w:ind w:firstLine="643" w:firstLineChars="200"/>
        <w:rPr>
          <w:rFonts w:ascii="楷体_GB2312" w:hAnsi="仿宋" w:eastAsia="楷体_GB2312"/>
        </w:rPr>
      </w:pPr>
      <w:bookmarkStart w:id="116" w:name="_Toc76826184"/>
      <w:r>
        <w:rPr>
          <w:rFonts w:hint="eastAsia" w:ascii="楷体_GB2312" w:hAnsi="仿宋" w:eastAsia="楷体_GB2312"/>
        </w:rPr>
        <w:t>（三）创新招商引资方式</w:t>
      </w:r>
      <w:bookmarkEnd w:id="116"/>
    </w:p>
    <w:p w14:paraId="034E3E61">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深入实施骨干企业培育工程，全力支持本土龙头企业增资扩产、做大做强，大力培育“四新”企业。提升专业化招商队伍素质与能力，围绕专业素养、专业思维、专业方法，进行专业招商。聚焦先进制造业集群建设，搭建招商信息平台，构建招商网络，深度对接世界500强和国内外行业领军企业，广招商、招大商，形成重点招商目录清单，引进一个龙头企业，带动一批配套企业，壮大培育一条产业链。紧密跟进外来企业再投资动向，推动已落户、运营企业的世界500强企业和国内大企业进一步扩大投资规模。围绕科技创新、先进制造、粤港澳大湾区合作、空铁融合、绿色金融、乡村振兴和重大基础设施等领域，以“建链”“补链”“强链”为抓手，着力抓龙头、引总部、聚相关，形成上中下游配套的产业集群。充分利用社会力量招商，扩大与一批社会知名度较高、业绩突出的社会专业招商机构合作，定期沟通招商载体、招商政策、产业规划等信息，共同加强招商宣传推介和招商合作。对引进重点项目、龙头项目、带动产业集聚效果显著项目的社会机构，要进行重点奖励或补助，协助申请广州市各类招商活动补贴。做好招商引资保障工作，强化主动服务，在项目审批、控规调整、环保评估、基础配套等方面给予全力支持。</w:t>
      </w:r>
    </w:p>
    <w:p w14:paraId="599E4107">
      <w:pPr>
        <w:pStyle w:val="2"/>
        <w:spacing w:before="0" w:after="0" w:line="560" w:lineRule="exact"/>
        <w:ind w:firstLine="643" w:firstLineChars="200"/>
        <w:rPr>
          <w:rFonts w:ascii="楷体_GB2312" w:hAnsi="仿宋" w:eastAsia="楷体_GB2312"/>
        </w:rPr>
      </w:pPr>
      <w:bookmarkStart w:id="117" w:name="_Toc76826185"/>
      <w:r>
        <w:rPr>
          <w:rFonts w:hint="eastAsia" w:ascii="楷体_GB2312" w:hAnsi="仿宋" w:eastAsia="楷体_GB2312"/>
        </w:rPr>
        <w:t>（四）保障项目用地需求</w:t>
      </w:r>
      <w:bookmarkEnd w:id="117"/>
    </w:p>
    <w:p w14:paraId="18FE4684">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科学制定土地储备计划，划定工业用地控制线，有序推动土地储备和开发利用，保障先进制造业及战略</w:t>
      </w:r>
      <w:r>
        <w:rPr>
          <w:rFonts w:ascii="仿宋_GB2312" w:hAnsi="仿宋" w:eastAsia="仿宋_GB2312" w:cs="Times New Roman"/>
          <w:sz w:val="32"/>
          <w:szCs w:val="32"/>
        </w:rPr>
        <w:t>性</w:t>
      </w:r>
      <w:r>
        <w:rPr>
          <w:rFonts w:hint="eastAsia" w:ascii="仿宋_GB2312" w:hAnsi="仿宋" w:eastAsia="仿宋_GB2312" w:cs="Times New Roman"/>
          <w:sz w:val="32"/>
          <w:szCs w:val="32"/>
        </w:rPr>
        <w:t>新兴产业用地供给，加强对产业发展及项目招商的空间支撑。大力运用混合产业用地供给、“点状供地”、新型产业用地（M0）等创新方式，加快花都中心区及周边区域低效空间疏解后土地再利用工作，对土地进行重新规划布局，适当提高企业总部、研发中心、结算中心等核心功能建筑的容积率，统筹谋划先进制造业、新兴产业空间布局。围绕企业破产、异地迁建等抓好存量土地的储备，围绕村级工业园区改造抓好工业用地的储备，围绕新增建设用地抓好农转用土地的储备，大力推进花都区存量建设用地使用，整合现有未建的存量土地，盘活留用地，与村社合作开发。在产业类型、投资规模、税收产出、资源消耗、技术创新等方面设立用地“门槛”，支持企业“腾笼换鸟”，鼓励企业采取“先租后让、租让结合”“弹性出让”方式取得供地，通过厂房加层、厂区改造、内部用地整理等途径提高土地利用率，全方位保障先进制造业用地需求。探索建立“同权同价、流转顺畅、收益共享”的农村集体经营性建设用地入市制度，在西部赤坭、炭步两镇和机场周边结合机场扩建工作先行先试。建立完善“拍地即拿证”机制，扩大“临时施工复函”受理范围，大力推动产业用地联合竞买机制。探索实行工业用地出让“零收益”，降低企业用地成本。</w:t>
      </w:r>
    </w:p>
    <w:p w14:paraId="3DC17BF0">
      <w:pPr>
        <w:pStyle w:val="2"/>
        <w:spacing w:before="0" w:after="0" w:line="560" w:lineRule="exact"/>
        <w:ind w:firstLine="643" w:firstLineChars="200"/>
        <w:rPr>
          <w:rFonts w:ascii="楷体_GB2312" w:hAnsi="仿宋" w:eastAsia="楷体_GB2312"/>
        </w:rPr>
      </w:pPr>
      <w:bookmarkStart w:id="118" w:name="_Toc76826186"/>
      <w:r>
        <w:rPr>
          <w:rFonts w:hint="eastAsia" w:ascii="楷体_GB2312" w:hAnsi="仿宋" w:eastAsia="楷体_GB2312"/>
        </w:rPr>
        <w:t>（五）集聚先进制造人才</w:t>
      </w:r>
      <w:bookmarkEnd w:id="118"/>
    </w:p>
    <w:p w14:paraId="41F9651B">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大力实施“花都聚才”行动，出台更具竞争力的聚才、引才、育才、留才政策，打造“花都人才管家”服务，有效解决人才集聚的痛点堵点。在市统筹安排下，在区域内适当降低城乡落户门槛，支持花都区绿色金融、智能制造、电子信息等产业符合条件的优秀技术人才及高端人才落户，让更多企业人才获得总量控制类入户指标，对符合先进制造业发展需求条件的创新创业人才予以人才公寓、项目资助、贷款贴息、住房补贴等。以国家城乡融合发展试验区广清接合片区建设为契机，适当降低人才优惠政策门槛，扩大人才优惠政策的普及面，让先进制造业的紧缺工种人员能享受到政府的相应人才优惠政策，在子女入学、住房、医疗、个税等方面扩大政策优惠面，从“优惠”升级为“普惠”，制定出更开放的人才政策。设立“人才服务平台”，集中办理政策兑现、父母养老、子女入学等事项，提供“上管老下管小”组合式暖心服务。不断完善职称评审制度，从“论文导向”向“业绩导向”转变。开展先进制造业人才培育计划，围绕产业链构筑人才链，对接重点产业发展、重点产业项目建设，积极引导区内优质教育培训资源为区内人才培养服务，为花都区高新技术企业、科技公司等各产业培养更多更好的优秀企业经营管理人才。</w:t>
      </w:r>
    </w:p>
    <w:p w14:paraId="0F9F5AA9">
      <w:pPr>
        <w:pStyle w:val="2"/>
        <w:spacing w:before="0" w:after="0" w:line="560" w:lineRule="exact"/>
        <w:ind w:firstLine="643" w:firstLineChars="200"/>
        <w:rPr>
          <w:rFonts w:ascii="楷体_GB2312" w:hAnsi="仿宋" w:eastAsia="楷体_GB2312"/>
        </w:rPr>
      </w:pPr>
      <w:bookmarkStart w:id="119" w:name="_Toc76826187"/>
      <w:r>
        <w:rPr>
          <w:rFonts w:hint="eastAsia" w:ascii="楷体_GB2312" w:hAnsi="仿宋" w:eastAsia="楷体_GB2312"/>
        </w:rPr>
        <w:t>（六）优化营商环境</w:t>
      </w:r>
      <w:bookmarkEnd w:id="119"/>
    </w:p>
    <w:p w14:paraId="6DB0AFE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加快“数字政府”建设，提升“互联网+政务服务”水平，优化报建流程、“绿色通道”审批等举措，实行报建一窗受理制度，提升部门“一站式”服务能力。完善“多规合一”联合审批平台，形成以“表单共享、材料共享、流程共享”为特征的全新审批模式，简化审批流程，实现“证照联办”“一件事一次办”。加大对先进制造业的支持力度，实行相关产业企业行政审批手续“免费代办制”，对项目审批、工商注册、税务登记、手续变更等所有涉企事项，均提供免费全流程代办。建立政策兑现事项清单，推进审批事项表单化清单化，加大政策兑现集成服务力度，分批整合各部门政策兑现纳入集成服务。推进税务办理便利化改革，推广国际贸易“单一窗口”平台。完善“政企通”服务机制，畅通企业诉求的收集、办理渠道。本着尊重历史、实事求是的原则，全面梳理不动产权属证办理、建设报建、消防、环保、旧厂改造和完善历史用地手续等情况，依法依规、积极稳妥解决企业老大难问题。推进跨部门、跨行业综合执法，推行日常检查“双随机</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一公开”，做到“进一次门、查多项事”。全面执行国家减税降费政策，清理涉企收费，降低企业用电、用气、物流成本。保障不同所有制企业在资质许可、政府采购、科技项目、标准制定等方面的公平待遇，坚决查处滥用行政权力排除和限制竞争的行为。实施严格的知识产权保护和惩罚性赔偿制度。全面落实市场轻微违法经营行为“双免”清单，探索实施先进制造业“触发式监管”“包容审慎监管”“沙盒监管”。进一步构建亲、清新型政商关系，提升政务服务效能，优化花都区营商环境。</w:t>
      </w:r>
    </w:p>
    <w:p w14:paraId="29CE1928">
      <w:pPr>
        <w:pStyle w:val="2"/>
        <w:spacing w:before="0" w:after="0" w:line="560" w:lineRule="exact"/>
        <w:ind w:firstLine="643" w:firstLineChars="200"/>
        <w:rPr>
          <w:rFonts w:ascii="楷体_GB2312" w:hAnsi="仿宋" w:eastAsia="楷体_GB2312"/>
        </w:rPr>
      </w:pPr>
      <w:bookmarkStart w:id="120" w:name="_Toc76826188"/>
      <w:r>
        <w:rPr>
          <w:rFonts w:hint="eastAsia" w:ascii="楷体_GB2312" w:hAnsi="仿宋" w:eastAsia="楷体_GB2312"/>
        </w:rPr>
        <w:t>（七）实施“链长”制引导</w:t>
      </w:r>
      <w:bookmarkEnd w:id="120"/>
    </w:p>
    <w:p w14:paraId="3494580F">
      <w:pPr>
        <w:spacing w:line="560" w:lineRule="exact"/>
        <w:ind w:firstLine="640" w:firstLineChars="200"/>
        <w:rPr>
          <w:sz w:val="32"/>
          <w:szCs w:val="32"/>
        </w:rPr>
      </w:pPr>
      <w:r>
        <w:rPr>
          <w:rFonts w:hint="eastAsia" w:ascii="仿宋_GB2312" w:hAnsi="仿宋" w:eastAsia="仿宋_GB2312" w:cs="Times New Roman"/>
          <w:bCs/>
          <w:sz w:val="32"/>
          <w:szCs w:val="32"/>
        </w:rPr>
        <w:t>坚持“有效市场”和“有为政府”，让市场充分发挥资源配置的决定性作用，处理好市场与政府的关系，解决战略性产业集聚在人才、土地、资金、技术等关键资源要素供给的共性问题，协调解决区内集群重点企业、重点项目和重大平台等建设过程中的问题。确保与省、市级产业链实现上下一致，确定重点产业链“链主企业”和相应负责“链长”，由“链长”负责，统筹各部门对产业链的合作共治，牵头制定区内重点产业产业链图谱、招商引资地图，推行产业链招商，引导链上企业与平台集聚，安排产业链工作计划，统筹负责产业链企业发展、招商引资、项目建设、人才引进、技术创新等重大事项，研究制定支持产业链发展的政策措施，围绕产业链形成责任主体与协作机制，协调相关部门解决链上企业发展中出现的问题，组织开展产业链相关的各项重大推介活动、论坛等，打破产业链发展中的区域保护、部门垄断、技术限制，实现政、产、学、研、金的有机结合，形成一种适合产业自适应发展的良好生态。</w:t>
      </w:r>
    </w:p>
    <w:p w14:paraId="103B114D">
      <w:pPr>
        <w:pStyle w:val="3"/>
        <w:spacing w:before="0" w:after="0" w:line="560" w:lineRule="exact"/>
        <w:rPr>
          <w:rFonts w:ascii="黑体" w:hAnsi="黑体" w:eastAsia="黑体"/>
          <w:b w:val="0"/>
          <w:sz w:val="32"/>
          <w:szCs w:val="32"/>
        </w:rPr>
      </w:pPr>
      <w:bookmarkStart w:id="121" w:name="_Toc76826189"/>
      <w:r>
        <w:rPr>
          <w:rFonts w:hint="eastAsia" w:ascii="黑体" w:hAnsi="黑体" w:eastAsia="黑体"/>
          <w:b w:val="0"/>
          <w:sz w:val="32"/>
          <w:szCs w:val="32"/>
        </w:rPr>
        <w:t>十、保障规划实施</w:t>
      </w:r>
      <w:bookmarkEnd w:id="121"/>
    </w:p>
    <w:p w14:paraId="0D0ED469">
      <w:pPr>
        <w:pStyle w:val="2"/>
        <w:spacing w:before="0" w:after="0" w:line="560" w:lineRule="exact"/>
        <w:ind w:firstLine="643" w:firstLineChars="200"/>
        <w:rPr>
          <w:rFonts w:ascii="楷体_GB2312" w:hAnsi="仿宋" w:eastAsia="楷体_GB2312"/>
        </w:rPr>
      </w:pPr>
      <w:bookmarkStart w:id="122" w:name="_Toc76826190"/>
      <w:r>
        <w:rPr>
          <w:rFonts w:hint="eastAsia" w:ascii="楷体_GB2312" w:hAnsi="仿宋" w:eastAsia="楷体_GB2312"/>
        </w:rPr>
        <w:t>（一）加强组织领导</w:t>
      </w:r>
      <w:bookmarkEnd w:id="122"/>
    </w:p>
    <w:p w14:paraId="6A4C64E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成立由区政府主要领导牵头的领导小组工作制度，研究制定先进制造业发展重大事项，协调解决政策落实、重大工程建设、资金安排等工作。细化重点任务，明确责任单位和实施单位，全面做好定期跟踪落实工作。健全重点任务、项目监测机制，保障任务、项目按照时间节点推进。</w:t>
      </w:r>
    </w:p>
    <w:p w14:paraId="6B7BF727">
      <w:pPr>
        <w:pStyle w:val="2"/>
        <w:spacing w:before="0" w:after="0" w:line="560" w:lineRule="exact"/>
        <w:ind w:firstLine="643" w:firstLineChars="200"/>
        <w:rPr>
          <w:rFonts w:ascii="楷体_GB2312" w:hAnsi="仿宋" w:eastAsia="楷体_GB2312"/>
        </w:rPr>
      </w:pPr>
      <w:bookmarkStart w:id="123" w:name="_Toc76826191"/>
      <w:r>
        <w:rPr>
          <w:rFonts w:hint="eastAsia" w:ascii="楷体_GB2312" w:hAnsi="仿宋" w:eastAsia="楷体_GB2312"/>
        </w:rPr>
        <w:t>（二）健全规划实施机制</w:t>
      </w:r>
      <w:bookmarkEnd w:id="123"/>
    </w:p>
    <w:p w14:paraId="0B100EEA">
      <w:pPr>
        <w:pStyle w:val="4"/>
        <w:spacing w:before="0" w:after="0" w:line="560" w:lineRule="exact"/>
        <w:ind w:firstLine="643" w:firstLineChars="200"/>
        <w:rPr>
          <w:rFonts w:ascii="仿宋_GB2312" w:hAnsi="Times New Roman" w:eastAsia="仿宋_GB2312"/>
          <w:bCs w:val="0"/>
        </w:rPr>
      </w:pPr>
      <w:bookmarkStart w:id="124" w:name="_Toc76826192"/>
      <w:r>
        <w:rPr>
          <w:rFonts w:hint="eastAsia" w:ascii="仿宋_GB2312" w:hAnsi="Times New Roman" w:eastAsia="仿宋_GB2312"/>
          <w:bCs w:val="0"/>
        </w:rPr>
        <w:t>1.完善政策支持体系</w:t>
      </w:r>
      <w:bookmarkEnd w:id="124"/>
    </w:p>
    <w:p w14:paraId="71BD1445">
      <w:pPr>
        <w:spacing w:line="560" w:lineRule="exact"/>
        <w:ind w:firstLine="640" w:firstLineChars="200"/>
        <w:rPr>
          <w:bCs/>
        </w:rPr>
      </w:pPr>
      <w:r>
        <w:rPr>
          <w:rFonts w:hint="eastAsia" w:ascii="仿宋_GB2312" w:hAnsi="仿宋" w:eastAsia="仿宋_GB2312" w:cs="Times New Roman"/>
          <w:sz w:val="32"/>
          <w:szCs w:val="32"/>
        </w:rPr>
        <w:t>以国家、省市和区“十四五”规划纲要为指引，编制好区“十四五”时期先进制造业发展规划，加强先进制造业发展规划与总体规划、空间规划、专项规划、区域规划的协调，确保总体要求一致，空间配置和时序安排协调有序。</w:t>
      </w:r>
    </w:p>
    <w:p w14:paraId="19955E30">
      <w:pPr>
        <w:pStyle w:val="4"/>
        <w:spacing w:before="0" w:after="0" w:line="560" w:lineRule="exact"/>
        <w:ind w:firstLine="643" w:firstLineChars="200"/>
        <w:rPr>
          <w:rFonts w:ascii="仿宋_GB2312" w:hAnsi="Times New Roman" w:eastAsia="仿宋_GB2312"/>
          <w:bCs w:val="0"/>
        </w:rPr>
      </w:pPr>
      <w:bookmarkStart w:id="125" w:name="_Toc76826193"/>
      <w:r>
        <w:rPr>
          <w:rFonts w:hint="eastAsia" w:ascii="仿宋_GB2312" w:hAnsi="Times New Roman" w:eastAsia="仿宋_GB2312"/>
          <w:bCs w:val="0"/>
        </w:rPr>
        <w:t>2.明确实施责任</w:t>
      </w:r>
      <w:bookmarkEnd w:id="125"/>
    </w:p>
    <w:p w14:paraId="029972C0">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由区统一本规划实施工作，制定规划实施方案，落实牵头单位和工作责任，明确实施进度和推进措施，逐步落实目标任务。本规划提出的发展目标、重点任务、重大项目应纳入经济社会发展年度计划，并分解到区有关部门及各镇（街）。</w:t>
      </w:r>
    </w:p>
    <w:p w14:paraId="01E3269B">
      <w:pPr>
        <w:pStyle w:val="2"/>
        <w:spacing w:before="0" w:after="0" w:line="560" w:lineRule="exact"/>
        <w:ind w:firstLine="643" w:firstLineChars="200"/>
        <w:rPr>
          <w:rFonts w:ascii="楷体_GB2312" w:hAnsi="仿宋" w:eastAsia="楷体_GB2312"/>
        </w:rPr>
      </w:pPr>
      <w:bookmarkStart w:id="126" w:name="_Toc76826194"/>
      <w:r>
        <w:rPr>
          <w:rFonts w:hint="eastAsia" w:ascii="楷体_GB2312" w:hAnsi="仿宋" w:eastAsia="楷体_GB2312"/>
        </w:rPr>
        <w:t>（三）</w:t>
      </w:r>
      <w:r>
        <w:rPr>
          <w:rFonts w:hint="eastAsia" w:ascii="楷体_GB2312" w:hAnsi="仿宋" w:eastAsia="楷体_GB2312"/>
        </w:rPr>
        <w:tab/>
      </w:r>
      <w:r>
        <w:rPr>
          <w:rFonts w:hint="eastAsia" w:ascii="楷体_GB2312" w:hAnsi="仿宋" w:eastAsia="楷体_GB2312"/>
        </w:rPr>
        <w:t>强化重点项目保障</w:t>
      </w:r>
      <w:bookmarkEnd w:id="126"/>
    </w:p>
    <w:p w14:paraId="47E317D8">
      <w:pPr>
        <w:pStyle w:val="4"/>
        <w:spacing w:before="0" w:after="0" w:line="560" w:lineRule="exact"/>
        <w:ind w:firstLine="643" w:firstLineChars="200"/>
        <w:rPr>
          <w:rFonts w:ascii="仿宋_GB2312" w:hAnsi="Times New Roman" w:eastAsia="仿宋_GB2312"/>
          <w:bCs w:val="0"/>
        </w:rPr>
      </w:pPr>
      <w:bookmarkStart w:id="127" w:name="_Toc76826195"/>
      <w:r>
        <w:rPr>
          <w:rFonts w:hint="eastAsia" w:ascii="仿宋_GB2312" w:hAnsi="Times New Roman" w:eastAsia="仿宋_GB2312"/>
          <w:bCs w:val="0"/>
        </w:rPr>
        <w:t>1.保障项目落实</w:t>
      </w:r>
      <w:bookmarkEnd w:id="127"/>
    </w:p>
    <w:p w14:paraId="276D1ADE">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发挥本规划对先进制造业重大项目布局和建设的指导和统领作用，在先进制造领域谋划实施一批重大项目，将规划的重大项目落实到年度重点项目计划实施，以项目促进规划落实。有序推进重大项目建设，力争更多项目纳入省重点项目计划。</w:t>
      </w:r>
    </w:p>
    <w:p w14:paraId="687D08B0">
      <w:pPr>
        <w:pStyle w:val="4"/>
        <w:spacing w:before="0" w:after="0" w:line="560" w:lineRule="exact"/>
        <w:ind w:firstLine="643" w:firstLineChars="200"/>
        <w:rPr>
          <w:rFonts w:ascii="仿宋_GB2312" w:hAnsi="Times New Roman" w:eastAsia="仿宋_GB2312"/>
          <w:bCs w:val="0"/>
        </w:rPr>
      </w:pPr>
      <w:bookmarkStart w:id="128" w:name="_Toc76826196"/>
      <w:r>
        <w:rPr>
          <w:rFonts w:hint="eastAsia" w:ascii="仿宋_GB2312" w:hAnsi="Times New Roman" w:eastAsia="仿宋_GB2312"/>
          <w:bCs w:val="0"/>
        </w:rPr>
        <w:t>2.做好项目管理</w:t>
      </w:r>
      <w:bookmarkEnd w:id="128"/>
    </w:p>
    <w:p w14:paraId="5BAEA34C">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加强对先进制造业重大项目建设全流程监督管理和指导服务，严格建设程序，提高审批效率，加强监测调度，规范项目资金使用管理，保证工程质量安全，提高投资效益，努力打造精品工程、阳光工程、廉洁工程。完善先进制造业重大项目储备机制，形成“储备一批、开工一批、建设一批、竣工一批”的滚动机制。强化先进制造业重大项目前期论证，完善联动协调机制，加快项目落地。</w:t>
      </w:r>
    </w:p>
    <w:p w14:paraId="06ACA027">
      <w:pPr>
        <w:pStyle w:val="2"/>
        <w:spacing w:before="0" w:after="0" w:line="560" w:lineRule="exact"/>
        <w:ind w:firstLine="643" w:firstLineChars="200"/>
        <w:rPr>
          <w:rFonts w:ascii="楷体_GB2312" w:hAnsi="仿宋" w:eastAsia="楷体_GB2312"/>
        </w:rPr>
      </w:pPr>
      <w:bookmarkStart w:id="129" w:name="_Toc76826197"/>
      <w:r>
        <w:rPr>
          <w:rFonts w:hint="eastAsia" w:ascii="楷体_GB2312" w:hAnsi="仿宋" w:eastAsia="楷体_GB2312"/>
        </w:rPr>
        <w:t>（四）加强考核监督</w:t>
      </w:r>
      <w:bookmarkEnd w:id="129"/>
    </w:p>
    <w:p w14:paraId="626C682F">
      <w:pPr>
        <w:pStyle w:val="4"/>
        <w:spacing w:before="0" w:after="0" w:line="560" w:lineRule="exact"/>
        <w:ind w:firstLine="643" w:firstLineChars="200"/>
        <w:rPr>
          <w:rFonts w:ascii="仿宋_GB2312" w:hAnsi="Times New Roman" w:eastAsia="仿宋_GB2312"/>
          <w:bCs w:val="0"/>
        </w:rPr>
      </w:pPr>
      <w:bookmarkStart w:id="130" w:name="_Toc76826198"/>
      <w:r>
        <w:rPr>
          <w:rFonts w:hint="eastAsia" w:ascii="仿宋_GB2312" w:hAnsi="Times New Roman" w:eastAsia="仿宋_GB2312"/>
          <w:bCs w:val="0"/>
        </w:rPr>
        <w:t>1.加强规划实施监测</w:t>
      </w:r>
      <w:bookmarkEnd w:id="130"/>
    </w:p>
    <w:p w14:paraId="016847B3">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开展对先进制造项目实施情况的跟踪监测分析，强化动态管理，提高具体项目实施效果。负责单位要加强对项目各阶段任务完成情况的监测，开展项目实施进展情况跟踪分析。区有关部门和各镇（街）政府要采取约束性指标、预期性目标对项目各阶段实施目标责任制管理，为监测评估和政策制定提供基础支撑。</w:t>
      </w:r>
    </w:p>
    <w:p w14:paraId="0F651D54">
      <w:pPr>
        <w:pStyle w:val="4"/>
        <w:spacing w:before="0" w:after="0" w:line="560" w:lineRule="exact"/>
        <w:ind w:firstLine="643" w:firstLineChars="200"/>
        <w:rPr>
          <w:rFonts w:ascii="仿宋_GB2312" w:hAnsi="Times New Roman" w:eastAsia="仿宋_GB2312"/>
        </w:rPr>
      </w:pPr>
      <w:bookmarkStart w:id="131" w:name="_Toc76826199"/>
      <w:r>
        <w:rPr>
          <w:rFonts w:hint="eastAsia" w:ascii="仿宋_GB2312" w:hAnsi="Times New Roman" w:eastAsia="仿宋_GB2312"/>
          <w:bCs w:val="0"/>
        </w:rPr>
        <w:t>2.加强监督考核</w:t>
      </w:r>
      <w:bookmarkEnd w:id="131"/>
    </w:p>
    <w:p w14:paraId="4102E3BB">
      <w:pPr>
        <w:spacing w:line="560" w:lineRule="exact"/>
        <w:ind w:firstLine="640" w:firstLineChars="200"/>
        <w:rPr>
          <w:rFonts w:ascii="仿宋" w:hAnsi="仿宋" w:eastAsia="仿宋" w:cs="Times New Roman"/>
          <w:sz w:val="32"/>
          <w:szCs w:val="32"/>
        </w:rPr>
      </w:pPr>
      <w:r>
        <w:rPr>
          <w:rFonts w:hint="eastAsia" w:ascii="仿宋_GB2312" w:hAnsi="仿宋" w:eastAsia="仿宋_GB2312" w:cs="Times New Roman"/>
          <w:sz w:val="32"/>
          <w:szCs w:val="32"/>
        </w:rPr>
        <w:t>完善考评机制，将先进制造项目实施情况纳入各级各有关单位的评价评估。建立奖惩机制，强化项目实施考评结果的运用，将先进制造项目实施情况纳入各级领导干部考核评价体系，将评价结果作为干部奖惩的重要依据。</w:t>
      </w:r>
    </w:p>
    <w:p w14:paraId="26BE3180">
      <w:pPr>
        <w:spacing w:line="560" w:lineRule="exact"/>
        <w:ind w:firstLine="640" w:firstLineChars="200"/>
        <w:rPr>
          <w:rFonts w:ascii="仿宋_GB2312" w:hAnsi="仿宋" w:eastAsia="仿宋_GB2312" w:cs="Times New Roman"/>
          <w:sz w:val="32"/>
          <w:szCs w:val="32"/>
        </w:rPr>
      </w:pPr>
    </w:p>
    <w:p w14:paraId="032D9069">
      <w:pPr>
        <w:spacing w:line="560" w:lineRule="exact"/>
        <w:ind w:firstLine="640" w:firstLineChars="200"/>
        <w:rPr>
          <w:rFonts w:ascii="仿宋_GB2312" w:hAnsi="仿宋" w:eastAsia="仿宋_GB2312" w:cs="Times New Roman"/>
          <w:sz w:val="32"/>
          <w:szCs w:val="32"/>
        </w:rPr>
      </w:pPr>
    </w:p>
    <w:p w14:paraId="6C660339">
      <w:pPr>
        <w:spacing w:line="560" w:lineRule="exact"/>
        <w:ind w:firstLine="640" w:firstLineChars="200"/>
        <w:rPr>
          <w:rFonts w:ascii="仿宋_GB2312" w:hAnsi="仿宋" w:eastAsia="仿宋_GB2312" w:cs="Times New Roman"/>
          <w:sz w:val="32"/>
          <w:szCs w:val="32"/>
        </w:rPr>
      </w:pPr>
    </w:p>
    <w:p w14:paraId="5BDF632A">
      <w:pPr>
        <w:spacing w:line="560" w:lineRule="exact"/>
        <w:ind w:firstLine="640" w:firstLineChars="200"/>
        <w:rPr>
          <w:rFonts w:ascii="仿宋_GB2312" w:hAnsi="仿宋" w:eastAsia="仿宋_GB2312" w:cs="Times New Roman"/>
          <w:sz w:val="32"/>
          <w:szCs w:val="32"/>
        </w:rPr>
      </w:pPr>
    </w:p>
    <w:p w14:paraId="22E9C7B2">
      <w:pPr>
        <w:spacing w:line="560" w:lineRule="exact"/>
        <w:ind w:firstLine="640" w:firstLineChars="200"/>
        <w:rPr>
          <w:rFonts w:ascii="仿宋_GB2312" w:hAnsi="仿宋" w:eastAsia="仿宋_GB2312" w:cs="Times New Roman"/>
          <w:sz w:val="32"/>
          <w:szCs w:val="32"/>
        </w:rPr>
      </w:pPr>
    </w:p>
    <w:p w14:paraId="06392600">
      <w:pPr>
        <w:spacing w:line="560" w:lineRule="exact"/>
        <w:ind w:firstLine="640" w:firstLineChars="200"/>
        <w:rPr>
          <w:rFonts w:ascii="仿宋_GB2312" w:hAnsi="仿宋" w:eastAsia="仿宋_GB2312" w:cs="Times New Roman"/>
          <w:sz w:val="32"/>
          <w:szCs w:val="32"/>
        </w:rPr>
      </w:pPr>
    </w:p>
    <w:p w14:paraId="25A2AEFE">
      <w:pPr>
        <w:spacing w:line="560" w:lineRule="exact"/>
        <w:ind w:firstLine="640" w:firstLineChars="200"/>
        <w:rPr>
          <w:rFonts w:ascii="仿宋_GB2312" w:hAnsi="仿宋" w:eastAsia="仿宋_GB2312" w:cs="Times New Roman"/>
          <w:sz w:val="32"/>
          <w:szCs w:val="32"/>
        </w:rPr>
      </w:pPr>
    </w:p>
    <w:p w14:paraId="1EDCC949">
      <w:pPr>
        <w:spacing w:line="560" w:lineRule="exact"/>
        <w:ind w:firstLine="640" w:firstLineChars="200"/>
        <w:rPr>
          <w:rFonts w:ascii="仿宋_GB2312" w:hAnsi="仿宋" w:eastAsia="仿宋_GB2312" w:cs="Times New Roman"/>
          <w:sz w:val="32"/>
          <w:szCs w:val="32"/>
        </w:rPr>
      </w:pPr>
    </w:p>
    <w:p w14:paraId="0987639C">
      <w:pPr>
        <w:spacing w:line="560" w:lineRule="exact"/>
        <w:ind w:firstLine="640" w:firstLineChars="200"/>
        <w:rPr>
          <w:rFonts w:ascii="仿宋_GB2312" w:hAnsi="仿宋" w:eastAsia="仿宋_GB2312" w:cs="Times New Roman"/>
          <w:sz w:val="32"/>
          <w:szCs w:val="32"/>
        </w:rPr>
      </w:pPr>
    </w:p>
    <w:p w14:paraId="4868ABA9">
      <w:pPr>
        <w:spacing w:line="560" w:lineRule="exact"/>
        <w:ind w:firstLine="640" w:firstLineChars="200"/>
        <w:rPr>
          <w:rFonts w:ascii="仿宋_GB2312" w:hAnsi="仿宋" w:eastAsia="仿宋_GB2312" w:cs="Times New Roman"/>
          <w:sz w:val="32"/>
          <w:szCs w:val="32"/>
        </w:rPr>
      </w:pPr>
    </w:p>
    <w:p w14:paraId="1E4009BA">
      <w:pPr>
        <w:spacing w:line="560" w:lineRule="exact"/>
        <w:ind w:firstLine="640" w:firstLineChars="200"/>
        <w:rPr>
          <w:rFonts w:ascii="仿宋_GB2312" w:hAnsi="仿宋" w:eastAsia="仿宋_GB2312" w:cs="Times New Roman"/>
          <w:sz w:val="32"/>
          <w:szCs w:val="32"/>
        </w:rPr>
      </w:pPr>
    </w:p>
    <w:p w14:paraId="2EBED092">
      <w:pPr>
        <w:spacing w:line="560" w:lineRule="exact"/>
        <w:ind w:firstLine="640" w:firstLineChars="200"/>
        <w:rPr>
          <w:rFonts w:ascii="仿宋_GB2312" w:hAnsi="仿宋" w:eastAsia="仿宋_GB2312" w:cs="Times New Roman"/>
          <w:sz w:val="32"/>
          <w:szCs w:val="32"/>
        </w:rPr>
      </w:pPr>
    </w:p>
    <w:p w14:paraId="43AC6CB0">
      <w:pPr>
        <w:spacing w:line="560" w:lineRule="exact"/>
        <w:ind w:firstLine="640" w:firstLineChars="200"/>
        <w:rPr>
          <w:rFonts w:ascii="仿宋_GB2312" w:hAnsi="仿宋" w:eastAsia="仿宋_GB2312" w:cs="Times New Roman"/>
          <w:sz w:val="32"/>
          <w:szCs w:val="32"/>
        </w:rPr>
      </w:pPr>
    </w:p>
    <w:p w14:paraId="5FFD1530"/>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1047963"/>
    </w:sdtPr>
    <w:sdtContent>
      <w:p w14:paraId="2EB88BBE">
        <w:pPr>
          <w:pStyle w:val="6"/>
          <w:jc w:val="center"/>
        </w:pPr>
        <w:r>
          <w:fldChar w:fldCharType="begin"/>
        </w:r>
        <w:r>
          <w:instrText xml:space="preserve">PAGE   \* MERGEFORMAT</w:instrText>
        </w:r>
        <w:r>
          <w:fldChar w:fldCharType="separate"/>
        </w:r>
        <w:r>
          <w:rPr>
            <w:lang w:val="zh-CN"/>
          </w:rPr>
          <w:t>2</w:t>
        </w:r>
        <w:r>
          <w:fldChar w:fldCharType="end"/>
        </w:r>
      </w:p>
    </w:sdtContent>
  </w:sdt>
  <w:p w14:paraId="46DC62E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MTc3Y2Q4NTFjZWQ0MzhiNjAzZmJkZjI1ZGI4ODYifQ=="/>
  </w:docVars>
  <w:rsids>
    <w:rsidRoot w:val="00000000"/>
    <w:rsid w:val="135567D2"/>
    <w:rsid w:val="4F5E008A"/>
    <w:rsid w:val="5DD92396"/>
    <w:rsid w:val="6414138E"/>
    <w:rsid w:val="6A362916"/>
    <w:rsid w:val="7CC1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paragraph" w:styleId="14">
    <w:name w:val="No Spacing"/>
    <w:qFormat/>
    <w:uiPriority w:val="1"/>
    <w:rPr>
      <w:rFonts w:asciiTheme="minorHAnsi" w:hAnsiTheme="minorHAnsi" w:eastAsiaTheme="minorEastAsia" w:cstheme="minorBidi"/>
      <w:sz w:val="22"/>
      <w:szCs w:val="22"/>
      <w:lang w:val="en-US" w:eastAsia="zh-CN" w:bidi="ar-SA"/>
    </w:rPr>
  </w:style>
  <w:style w:type="paragraph" w:styleId="15">
    <w:name w:val="List Paragraph"/>
    <w:basedOn w:val="1"/>
    <w:qFormat/>
    <w:uiPriority w:val="99"/>
    <w:pPr>
      <w:ind w:firstLine="420" w:firstLineChars="200"/>
    </w:pPr>
    <w:rPr>
      <w:szCs w:val="24"/>
    </w:rPr>
  </w:style>
  <w:style w:type="character" w:customStyle="1" w:styleId="16">
    <w:name w:val="不明显强调1"/>
    <w:basedOn w:val="11"/>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CE5343\Documents\WeChat%20Files\mao2358892\FileStorage\File\2021-06\&#30456;&#20851;&#25968;&#2545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s\CE5343\Documents\WeChat%20Files\mao2358892\FileStorage\File\2021-06\&#30456;&#20851;&#25968;&#25454;.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Users\CE5343\Documents\WeChat%20Files\mao2358892\FileStorage\File\2021-06\&#30456;&#20851;&#25968;&#2545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CE5343\Documents\WeChat%20Files\mao2358892\FileStorage\File\2021-06\&#30456;&#20851;&#25968;&#2545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9972361551848"/>
          <c:y val="0.0475609756097561"/>
          <c:w val="0.823769065410994"/>
          <c:h val="0.711829268292683"/>
        </c:manualLayout>
      </c:layout>
      <c:barChart>
        <c:barDir val="col"/>
        <c:grouping val="clustered"/>
        <c:varyColors val="0"/>
        <c:ser>
          <c:idx val="0"/>
          <c:order val="0"/>
          <c:tx>
            <c:strRef>
              <c:f>[相关数据.xls]Sheet1!$G$7</c:f>
              <c:strCache>
                <c:ptCount val="1"/>
                <c:pt idx="0">
                  <c:v>规模以上工业总产值(亿元）</c:v>
                </c:pt>
              </c:strCache>
            </c:strRef>
          </c:tx>
          <c:spPr>
            <a:pattFill prst="ltUpDiag">
              <a:fgClr>
                <a:schemeClr val="tx1"/>
              </a:fgClr>
              <a:bgClr>
                <a:srgbClr val="FFFFFF"/>
              </a:bgClr>
            </a:pattFill>
            <a:ln w="12700" cmpd="sng">
              <a:solidFill>
                <a:schemeClr val="tx1">
                  <a:alpha val="50000"/>
                </a:schemeClr>
              </a:solidFill>
              <a:prstDash val="solid"/>
            </a:ln>
            <a:effectLst/>
            <a:sp3d contourW="12700"/>
          </c:spPr>
          <c:invertIfNegative val="0"/>
          <c:dLbls>
            <c:dLbl>
              <c:idx val="3"/>
              <c:layout>
                <c:manualLayout>
                  <c:x val="-0.0337803255195005"/>
                  <c:y val="0.01219512195121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[相关数据.xls]Sheet1!$H$6:$M$6</c:f>
              <c:strCache>
                <c:ptCount val="6"/>
                <c:pt idx="0">
                  <c:v>2015年</c:v>
                </c:pt>
                <c:pt idx="1">
                  <c:v>2016年</c:v>
                </c:pt>
                <c:pt idx="2">
                  <c:v>2017年</c:v>
                </c:pt>
                <c:pt idx="3">
                  <c:v>2018年</c:v>
                </c:pt>
                <c:pt idx="4">
                  <c:v>2019年</c:v>
                </c:pt>
                <c:pt idx="5">
                  <c:v>2020年</c:v>
                </c:pt>
              </c:strCache>
            </c:strRef>
          </c:cat>
          <c:val>
            <c:numRef>
              <c:f>[相关数据.xls]Sheet1!$H$7:$M$7</c:f>
              <c:numCache>
                <c:formatCode>General</c:formatCode>
                <c:ptCount val="6"/>
                <c:pt idx="0">
                  <c:v>1952.46</c:v>
                </c:pt>
                <c:pt idx="1">
                  <c:v>2110.65</c:v>
                </c:pt>
                <c:pt idx="2">
                  <c:v>2344.85</c:v>
                </c:pt>
                <c:pt idx="3">
                  <c:v>2546.92</c:v>
                </c:pt>
                <c:pt idx="4">
                  <c:v>2625.85</c:v>
                </c:pt>
                <c:pt idx="5">
                  <c:v>2668.21</c:v>
                </c:pt>
              </c:numCache>
            </c:numRef>
          </c:val>
        </c:ser>
        <c:dLbls>
          <c:showLegendKey val="0"/>
          <c:showVal val="0"/>
          <c:showCatName val="0"/>
          <c:showSerName val="0"/>
          <c:showPercent val="0"/>
          <c:showBubbleSize val="0"/>
        </c:dLbls>
        <c:gapWidth val="219"/>
        <c:overlap val="-27"/>
        <c:axId val="492368192"/>
        <c:axId val="423448160"/>
      </c:barChart>
      <c:lineChart>
        <c:grouping val="standard"/>
        <c:varyColors val="0"/>
        <c:ser>
          <c:idx val="1"/>
          <c:order val="1"/>
          <c:tx>
            <c:strRef>
              <c:f>[相关数据.xls]Sheet1!$G$8</c:f>
              <c:strCache>
                <c:ptCount val="1"/>
                <c:pt idx="0">
                  <c:v>占市规模以上工业总产值比重（%）</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Lbl>
              <c:idx val="3"/>
              <c:layout>
                <c:manualLayout>
                  <c:x val="-0.0020472924557273"/>
                  <c:y val="-0.022357723577235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[相关数据.xls]Sheet1!$H$6:$M$6</c:f>
              <c:strCache>
                <c:ptCount val="6"/>
                <c:pt idx="0">
                  <c:v>2015年</c:v>
                </c:pt>
                <c:pt idx="1">
                  <c:v>2016年</c:v>
                </c:pt>
                <c:pt idx="2">
                  <c:v>2017年</c:v>
                </c:pt>
                <c:pt idx="3">
                  <c:v>2018年</c:v>
                </c:pt>
                <c:pt idx="4">
                  <c:v>2019年</c:v>
                </c:pt>
                <c:pt idx="5">
                  <c:v>2020年</c:v>
                </c:pt>
              </c:strCache>
            </c:strRef>
          </c:cat>
          <c:val>
            <c:numRef>
              <c:f>[相关数据.xls]Sheet1!$H$8:$M$8</c:f>
              <c:numCache>
                <c:formatCode>0.00_ </c:formatCode>
                <c:ptCount val="6"/>
                <c:pt idx="0">
                  <c:v>10.4497862098531</c:v>
                </c:pt>
                <c:pt idx="1">
                  <c:v>10.8927422647331</c:v>
                </c:pt>
                <c:pt idx="2">
                  <c:v>11.4275537335789</c:v>
                </c:pt>
                <c:pt idx="3">
                  <c:v>14.3862931048193</c:v>
                </c:pt>
                <c:pt idx="4">
                  <c:v>14.2225385929692</c:v>
                </c:pt>
                <c:pt idx="5" c:formatCode="General">
                  <c:v>13.36</c:v>
                </c:pt>
              </c:numCache>
            </c:numRef>
          </c:val>
          <c:smooth val="0"/>
        </c:ser>
        <c:dLbls>
          <c:showLegendKey val="0"/>
          <c:showVal val="0"/>
          <c:showCatName val="0"/>
          <c:showSerName val="0"/>
          <c:showPercent val="0"/>
          <c:showBubbleSize val="0"/>
        </c:dLbls>
        <c:marker val="1"/>
        <c:smooth val="0"/>
        <c:axId val="423114960"/>
        <c:axId val="423117760"/>
      </c:lineChart>
      <c:catAx>
        <c:axId val="4923681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423448160"/>
        <c:crosses val="autoZero"/>
        <c:auto val="1"/>
        <c:lblAlgn val="ctr"/>
        <c:lblOffset val="100"/>
        <c:noMultiLvlLbl val="0"/>
      </c:catAx>
      <c:valAx>
        <c:axId val="4234481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492368192"/>
        <c:crosses val="autoZero"/>
        <c:crossBetween val="between"/>
      </c:valAx>
      <c:catAx>
        <c:axId val="42311496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仿宋" panose="02010609060101010101" charset="-122"/>
                <a:ea typeface="仿宋" panose="02010609060101010101" charset="-122"/>
                <a:cs typeface="仿宋" panose="02010609060101010101" charset="-122"/>
                <a:sym typeface="仿宋" panose="02010609060101010101" charset="-122"/>
              </a:defRPr>
            </a:pPr>
          </a:p>
        </c:txPr>
        <c:crossAx val="423117760"/>
        <c:crosses val="autoZero"/>
        <c:auto val="1"/>
        <c:lblAlgn val="ctr"/>
        <c:lblOffset val="100"/>
        <c:noMultiLvlLbl val="0"/>
      </c:catAx>
      <c:valAx>
        <c:axId val="423117760"/>
        <c:scaling>
          <c:orientation val="minMax"/>
        </c:scaling>
        <c:delete val="0"/>
        <c:axPos val="r"/>
        <c:numFmt formatCode="0.00_ "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423114960"/>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ayout>
        <c:manualLayout>
          <c:xMode val="edge"/>
          <c:yMode val="edge"/>
          <c:x val="0.081"/>
          <c:y val="0.90075"/>
          <c:w val="0.8375"/>
          <c:h val="0.0765"/>
        </c:manualLayout>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1100">
          <a:latin typeface="仿宋" panose="02010609060101010101" charset="-122"/>
          <a:ea typeface="仿宋" panose="02010609060101010101" charset="-122"/>
          <a:cs typeface="仿宋" panose="02010609060101010101" charset="-122"/>
          <a:sym typeface="仿宋" panose="0201060906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'[相关数据.xls]Sheet3 (2)'!$D$7</c:f>
              <c:strCache>
                <c:ptCount val="1"/>
                <c:pt idx="0">
                  <c:v>规上先进制造业增加值（亿元）</c:v>
                </c:pt>
              </c:strCache>
            </c:strRef>
          </c:tx>
          <c:spPr>
            <a:pattFill prst="ltUpDiag">
              <a:fgClr>
                <a:schemeClr val="bg1">
                  <a:lumMod val="75000"/>
                </a:schemeClr>
              </a:fgClr>
              <a:bgClr>
                <a:schemeClr val="bg1"/>
              </a:bgClr>
            </a:pattFill>
            <a:ln>
              <a:solidFill>
                <a:schemeClr val="bg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'[相关数据.xls]Sheet3 (2)'!$E$6:$J$6</c:f>
              <c:strCache>
                <c:ptCount val="6"/>
                <c:pt idx="0">
                  <c:v>2015年</c:v>
                </c:pt>
                <c:pt idx="1">
                  <c:v>2016年</c:v>
                </c:pt>
                <c:pt idx="2">
                  <c:v>2017年</c:v>
                </c:pt>
                <c:pt idx="3">
                  <c:v>2018年</c:v>
                </c:pt>
                <c:pt idx="4">
                  <c:v>2019年</c:v>
                </c:pt>
                <c:pt idx="5">
                  <c:v>2020年</c:v>
                </c:pt>
              </c:strCache>
            </c:strRef>
          </c:cat>
          <c:val>
            <c:numRef>
              <c:f>'[相关数据.xls]Sheet3 (2)'!$E$7:$J$7</c:f>
              <c:numCache>
                <c:formatCode>0.00_ </c:formatCode>
                <c:ptCount val="6"/>
                <c:pt idx="0">
                  <c:v>394.12</c:v>
                </c:pt>
                <c:pt idx="1">
                  <c:v>399.2</c:v>
                </c:pt>
                <c:pt idx="2">
                  <c:v>437.49</c:v>
                </c:pt>
                <c:pt idx="3">
                  <c:v>507.4</c:v>
                </c:pt>
                <c:pt idx="4">
                  <c:v>520.91</c:v>
                </c:pt>
                <c:pt idx="5">
                  <c:v>483.24</c:v>
                </c:pt>
              </c:numCache>
            </c:numRef>
          </c:val>
        </c:ser>
        <c:ser>
          <c:idx val="1"/>
          <c:order val="1"/>
          <c:tx>
            <c:strRef>
              <c:f>'[相关数据.xls]Sheet3 (2)'!$D$8</c:f>
              <c:strCache>
                <c:ptCount val="1"/>
                <c:pt idx="0">
                  <c:v>规上装备制造业增加值（亿元）</c:v>
                </c:pt>
              </c:strCache>
            </c:strRef>
          </c:tx>
          <c:spPr>
            <a:pattFill prst="pct50">
              <a:fgClr>
                <a:schemeClr val="tx1">
                  <a:lumMod val="65000"/>
                  <a:lumOff val="35000"/>
                </a:schemeClr>
              </a:fgClr>
              <a:bgClr>
                <a:schemeClr val="bg1"/>
              </a:bgClr>
            </a:pattFill>
            <a:ln>
              <a:solidFill>
                <a:schemeClr val="tx1">
                  <a:lumMod val="65000"/>
                  <a:lumOff val="35000"/>
                </a:schemeClr>
              </a:solidFill>
            </a:ln>
            <a:effectLst/>
          </c:spPr>
          <c:invertIfNegative val="0"/>
          <c:dLbls>
            <c:dLbl>
              <c:idx val="0"/>
              <c:layout>
                <c:manualLayout>
                  <c:x val="0.0474134986354664"/>
                  <c:y val="0.0219933939144862"/>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0867260900987714"/>
                      <c:h val="0.0572677595628415"/>
                    </c:manualLayout>
                  </c15:layout>
                </c:ext>
              </c:extLst>
            </c:dLbl>
            <c:dLbl>
              <c:idx val="1"/>
              <c:layout>
                <c:manualLayout>
                  <c:x val="0.0460554371002132"/>
                  <c:y val="0.013927576601671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11727078891258"/>
                  <c:y val="0.0092850510677808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11625323155363"/>
                  <c:y val="0.0098360655737704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22174840085288"/>
                  <c:y val="0.004642525533890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0938166311300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'[相关数据.xls]Sheet3 (2)'!$E$6:$J$6</c:f>
              <c:strCache>
                <c:ptCount val="6"/>
                <c:pt idx="0">
                  <c:v>2015年</c:v>
                </c:pt>
                <c:pt idx="1">
                  <c:v>2016年</c:v>
                </c:pt>
                <c:pt idx="2">
                  <c:v>2017年</c:v>
                </c:pt>
                <c:pt idx="3">
                  <c:v>2018年</c:v>
                </c:pt>
                <c:pt idx="4">
                  <c:v>2019年</c:v>
                </c:pt>
                <c:pt idx="5">
                  <c:v>2020年</c:v>
                </c:pt>
              </c:strCache>
            </c:strRef>
          </c:cat>
          <c:val>
            <c:numRef>
              <c:f>'[相关数据.xls]Sheet3 (2)'!$E$8:$J$8</c:f>
              <c:numCache>
                <c:formatCode>0.00_ </c:formatCode>
                <c:ptCount val="6"/>
                <c:pt idx="0">
                  <c:v>391.66</c:v>
                </c:pt>
                <c:pt idx="1">
                  <c:v>401.71</c:v>
                </c:pt>
                <c:pt idx="2">
                  <c:v>443.04</c:v>
                </c:pt>
                <c:pt idx="3">
                  <c:v>501.39</c:v>
                </c:pt>
                <c:pt idx="4">
                  <c:v>514.48</c:v>
                </c:pt>
                <c:pt idx="5">
                  <c:v>468.04</c:v>
                </c:pt>
              </c:numCache>
            </c:numRef>
          </c:val>
        </c:ser>
        <c:ser>
          <c:idx val="2"/>
          <c:order val="2"/>
          <c:tx>
            <c:strRef>
              <c:f>'[相关数据.xls]Sheet3 (2)'!$D$9</c:f>
              <c:strCache>
                <c:ptCount val="1"/>
                <c:pt idx="0">
                  <c:v>规上战略性新兴产业增加值（亿元）</c:v>
                </c:pt>
              </c:strCache>
            </c:strRef>
          </c:tx>
          <c:spPr>
            <a:pattFill prst="ltHorz">
              <a:fgClr>
                <a:schemeClr val="bg2">
                  <a:lumMod val="50000"/>
                </a:schemeClr>
              </a:fgClr>
              <a:bgClr>
                <a:schemeClr val="bg1"/>
              </a:bgClr>
            </a:pattFill>
            <a:ln>
              <a:solidFill>
                <a:schemeClr val="bg2">
                  <a:lumMod val="50000"/>
                </a:schemeClr>
              </a:solidFill>
            </a:ln>
            <a:effectLst/>
          </c:spPr>
          <c:invertIfNegative val="0"/>
          <c:dLbls>
            <c:dLbl>
              <c:idx val="0"/>
              <c:layout>
                <c:manualLayout>
                  <c:x val="0.0153518123667377"/>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12996688444072"/>
                  <c:y val="0.010793491331415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2345415778252"/>
                  <c:y val="0.004642525533890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91897654584222"/>
                  <c:y val="0.006963788300835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27931769722814"/>
                  <c:y val="0.002321262766945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49030803582664"/>
                  <c:y val="0.01407217985600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'[相关数据.xls]Sheet3 (2)'!$E$6:$J$6</c:f>
              <c:strCache>
                <c:ptCount val="6"/>
                <c:pt idx="0">
                  <c:v>2015年</c:v>
                </c:pt>
                <c:pt idx="1">
                  <c:v>2016年</c:v>
                </c:pt>
                <c:pt idx="2">
                  <c:v>2017年</c:v>
                </c:pt>
                <c:pt idx="3">
                  <c:v>2018年</c:v>
                </c:pt>
                <c:pt idx="4">
                  <c:v>2019年</c:v>
                </c:pt>
                <c:pt idx="5">
                  <c:v>2020年</c:v>
                </c:pt>
              </c:strCache>
            </c:strRef>
          </c:cat>
          <c:val>
            <c:numRef>
              <c:f>'[相关数据.xls]Sheet3 (2)'!$E$9:$J$9</c:f>
              <c:numCache>
                <c:formatCode>0.00_ </c:formatCode>
                <c:ptCount val="6"/>
                <c:pt idx="0">
                  <c:v>48.18</c:v>
                </c:pt>
                <c:pt idx="1">
                  <c:v>51.84</c:v>
                </c:pt>
                <c:pt idx="2">
                  <c:v>53</c:v>
                </c:pt>
                <c:pt idx="3">
                  <c:v>53.17</c:v>
                </c:pt>
                <c:pt idx="4">
                  <c:v>63.57</c:v>
                </c:pt>
                <c:pt idx="5">
                  <c:v>51.06</c:v>
                </c:pt>
              </c:numCache>
            </c:numRef>
          </c:val>
        </c:ser>
        <c:dLbls>
          <c:showLegendKey val="0"/>
          <c:showVal val="1"/>
          <c:showCatName val="0"/>
          <c:showSerName val="0"/>
          <c:showPercent val="0"/>
          <c:showBubbleSize val="0"/>
        </c:dLbls>
        <c:gapWidth val="219"/>
        <c:overlap val="-27"/>
        <c:axId val="424938560"/>
        <c:axId val="359137888"/>
      </c:barChart>
      <c:catAx>
        <c:axId val="4249385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359137888"/>
        <c:crosses val="autoZero"/>
        <c:auto val="1"/>
        <c:lblAlgn val="ctr"/>
        <c:lblOffset val="100"/>
        <c:noMultiLvlLbl val="0"/>
      </c:catAx>
      <c:valAx>
        <c:axId val="359137888"/>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4249385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latin typeface="仿宋" panose="02010609060101010101" charset="-122"/>
          <a:ea typeface="仿宋" panose="02010609060101010101" charset="-122"/>
          <a:cs typeface="仿宋" panose="02010609060101010101" charset="-122"/>
          <a:sym typeface="仿宋" panose="0201060906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[相关数据.xls]Sheet2!$E$5</c:f>
              <c:strCache>
                <c:ptCount val="1"/>
                <c:pt idx="0">
                  <c:v>R&amp;D经费投入（亿元）</c:v>
                </c:pt>
              </c:strCache>
            </c:strRef>
          </c:tx>
          <c:spPr>
            <a:pattFill prst="ltUpDiag">
              <a:fgClr>
                <a:schemeClr val="bg2">
                  <a:lumMod val="75000"/>
                </a:schemeClr>
              </a:fgClr>
              <a:bgClr>
                <a:schemeClr val="bg1"/>
              </a:bgClr>
            </a:pattFill>
            <a:ln>
              <a:solidFill>
                <a:schemeClr val="bg2">
                  <a:lumMod val="75000"/>
                </a:schemeClr>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[相关数据.xls]Sheet2!$F$4:$J$4</c:f>
              <c:strCache>
                <c:ptCount val="5"/>
                <c:pt idx="0">
                  <c:v>2015年</c:v>
                </c:pt>
                <c:pt idx="1">
                  <c:v>2016年</c:v>
                </c:pt>
                <c:pt idx="2">
                  <c:v>2017年</c:v>
                </c:pt>
                <c:pt idx="3">
                  <c:v>2018年</c:v>
                </c:pt>
                <c:pt idx="4">
                  <c:v>2019年</c:v>
                </c:pt>
              </c:strCache>
            </c:strRef>
          </c:cat>
          <c:val>
            <c:numRef>
              <c:f>[相关数据.xls]Sheet2!$F$5:$J$5</c:f>
              <c:numCache>
                <c:formatCode>General</c:formatCode>
                <c:ptCount val="5"/>
                <c:pt idx="0">
                  <c:v>25.78</c:v>
                </c:pt>
                <c:pt idx="1">
                  <c:v>28.72</c:v>
                </c:pt>
                <c:pt idx="2">
                  <c:v>35.12</c:v>
                </c:pt>
                <c:pt idx="3">
                  <c:v>36.42</c:v>
                </c:pt>
                <c:pt idx="4">
                  <c:v>36.58</c:v>
                </c:pt>
              </c:numCache>
            </c:numRef>
          </c:val>
        </c:ser>
        <c:ser>
          <c:idx val="1"/>
          <c:order val="1"/>
          <c:tx>
            <c:strRef>
              <c:f>[相关数据.xls]Sheet2!$E$6</c:f>
              <c:strCache>
                <c:ptCount val="1"/>
                <c:pt idx="0">
                  <c:v>专利技术合同成交额（亿元）</c:v>
                </c:pt>
              </c:strCache>
            </c:strRef>
          </c:tx>
          <c:spPr>
            <a:pattFill prst="pct50">
              <a:fgClr>
                <a:schemeClr val="tx1">
                  <a:lumMod val="50000"/>
                  <a:lumOff val="50000"/>
                </a:schemeClr>
              </a:fgClr>
              <a:bgClr>
                <a:schemeClr val="bg1"/>
              </a:bgClr>
            </a:pattFill>
            <a:ln>
              <a:solidFill>
                <a:schemeClr val="tx1">
                  <a:lumMod val="50000"/>
                  <a:lumOff val="50000"/>
                </a:schemeClr>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[相关数据.xls]Sheet2!$F$4:$J$4</c:f>
              <c:strCache>
                <c:ptCount val="5"/>
                <c:pt idx="0">
                  <c:v>2015年</c:v>
                </c:pt>
                <c:pt idx="1">
                  <c:v>2016年</c:v>
                </c:pt>
                <c:pt idx="2">
                  <c:v>2017年</c:v>
                </c:pt>
                <c:pt idx="3">
                  <c:v>2018年</c:v>
                </c:pt>
                <c:pt idx="4">
                  <c:v>2019年</c:v>
                </c:pt>
              </c:strCache>
            </c:strRef>
          </c:cat>
          <c:val>
            <c:numRef>
              <c:f>[相关数据.xls]Sheet2!$F$6:$J$6</c:f>
              <c:numCache>
                <c:formatCode>General</c:formatCode>
                <c:ptCount val="5"/>
                <c:pt idx="0">
                  <c:v>0.5</c:v>
                </c:pt>
                <c:pt idx="1">
                  <c:v>0.8</c:v>
                </c:pt>
                <c:pt idx="2">
                  <c:v>1</c:v>
                </c:pt>
                <c:pt idx="3">
                  <c:v>2.12</c:v>
                </c:pt>
                <c:pt idx="4">
                  <c:v>53.85</c:v>
                </c:pt>
              </c:numCache>
            </c:numRef>
          </c:val>
        </c:ser>
        <c:dLbls>
          <c:showLegendKey val="0"/>
          <c:showVal val="0"/>
          <c:showCatName val="0"/>
          <c:showSerName val="0"/>
          <c:showPercent val="0"/>
          <c:showBubbleSize val="0"/>
        </c:dLbls>
        <c:gapWidth val="219"/>
        <c:overlap val="-27"/>
        <c:axId val="503219760"/>
        <c:axId val="503220320"/>
      </c:barChart>
      <c:catAx>
        <c:axId val="5032197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503220320"/>
        <c:crosses val="autoZero"/>
        <c:auto val="1"/>
        <c:lblAlgn val="ctr"/>
        <c:lblOffset val="100"/>
        <c:noMultiLvlLbl val="0"/>
      </c:catAx>
      <c:valAx>
        <c:axId val="503220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5032197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ayout>
        <c:manualLayout>
          <c:xMode val="edge"/>
          <c:yMode val="edge"/>
          <c:x val="0.19475"/>
          <c:y val="0.90625"/>
          <c:w val="0.61025"/>
          <c:h val="0.07225"/>
        </c:manualLayout>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1100">
          <a:latin typeface="仿宋" panose="02010609060101010101" charset="-122"/>
          <a:ea typeface="仿宋" panose="02010609060101010101" charset="-122"/>
          <a:cs typeface="仿宋" panose="02010609060101010101" charset="-122"/>
          <a:sym typeface="仿宋" panose="0201060906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[相关数据.xls]Sheet3!$D$7</c:f>
              <c:strCache>
                <c:ptCount val="1"/>
                <c:pt idx="0">
                  <c:v>高新技术企业数量（家）</c:v>
                </c:pt>
              </c:strCache>
            </c:strRef>
          </c:tx>
          <c:spPr>
            <a:pattFill prst="ltUpDiag">
              <a:fgClr>
                <a:schemeClr val="bg2">
                  <a:lumMod val="75000"/>
                </a:schemeClr>
              </a:fgClr>
              <a:bgClr>
                <a:schemeClr val="bg1"/>
              </a:bgClr>
            </a:pattFill>
            <a:ln>
              <a:solidFill>
                <a:schemeClr val="bg2">
                  <a:lumMod val="75000"/>
                </a:schemeClr>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[相关数据.xls]Sheet3!$E$6:$J$6</c:f>
              <c:strCache>
                <c:ptCount val="6"/>
                <c:pt idx="0">
                  <c:v>2015年</c:v>
                </c:pt>
                <c:pt idx="1">
                  <c:v>2016年</c:v>
                </c:pt>
                <c:pt idx="2">
                  <c:v>2017年</c:v>
                </c:pt>
                <c:pt idx="3">
                  <c:v>2018年</c:v>
                </c:pt>
                <c:pt idx="4">
                  <c:v>2019年</c:v>
                </c:pt>
                <c:pt idx="5">
                  <c:v>2020年</c:v>
                </c:pt>
              </c:strCache>
            </c:strRef>
          </c:cat>
          <c:val>
            <c:numRef>
              <c:f>[相关数据.xls]Sheet3!$E$7:$J$7</c:f>
              <c:numCache>
                <c:formatCode>General</c:formatCode>
                <c:ptCount val="6"/>
                <c:pt idx="0">
                  <c:v>117</c:v>
                </c:pt>
                <c:pt idx="1">
                  <c:v>269</c:v>
                </c:pt>
                <c:pt idx="2">
                  <c:v>485</c:v>
                </c:pt>
                <c:pt idx="3">
                  <c:v>656</c:v>
                </c:pt>
                <c:pt idx="4">
                  <c:v>735</c:v>
                </c:pt>
                <c:pt idx="5">
                  <c:v>767</c:v>
                </c:pt>
              </c:numCache>
            </c:numRef>
          </c:val>
        </c:ser>
        <c:ser>
          <c:idx val="1"/>
          <c:order val="1"/>
          <c:tx>
            <c:strRef>
              <c:f>[相关数据.xls]Sheet3!$D$8</c:f>
              <c:strCache>
                <c:ptCount val="1"/>
                <c:pt idx="0">
                  <c:v>工业企业建立研发机构数量（家）</c:v>
                </c:pt>
              </c:strCache>
            </c:strRef>
          </c:tx>
          <c:spPr>
            <a:pattFill prst="pct50">
              <a:fgClr>
                <a:schemeClr val="tx1">
                  <a:lumMod val="50000"/>
                  <a:lumOff val="50000"/>
                </a:schemeClr>
              </a:fgClr>
              <a:bgClr>
                <a:schemeClr val="bg1"/>
              </a:bgClr>
            </a:pattFill>
            <a:ln>
              <a:solidFill>
                <a:schemeClr val="tx1">
                  <a:lumMod val="50000"/>
                  <a:lumOff val="50000"/>
                </a:schemeClr>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[相关数据.xls]Sheet3!$E$6:$J$6</c:f>
              <c:strCache>
                <c:ptCount val="6"/>
                <c:pt idx="0">
                  <c:v>2015年</c:v>
                </c:pt>
                <c:pt idx="1">
                  <c:v>2016年</c:v>
                </c:pt>
                <c:pt idx="2">
                  <c:v>2017年</c:v>
                </c:pt>
                <c:pt idx="3">
                  <c:v>2018年</c:v>
                </c:pt>
                <c:pt idx="4">
                  <c:v>2019年</c:v>
                </c:pt>
                <c:pt idx="5">
                  <c:v>2020年</c:v>
                </c:pt>
              </c:strCache>
            </c:strRef>
          </c:cat>
          <c:val>
            <c:numRef>
              <c:f>[相关数据.xls]Sheet3!$E$8:$J$8</c:f>
              <c:numCache>
                <c:formatCode>General</c:formatCode>
                <c:ptCount val="6"/>
                <c:pt idx="0">
                  <c:v>153</c:v>
                </c:pt>
                <c:pt idx="1">
                  <c:v>209</c:v>
                </c:pt>
                <c:pt idx="2">
                  <c:v>322</c:v>
                </c:pt>
                <c:pt idx="3">
                  <c:v>409</c:v>
                </c:pt>
                <c:pt idx="4">
                  <c:v>531</c:v>
                </c:pt>
                <c:pt idx="5">
                  <c:v>560</c:v>
                </c:pt>
              </c:numCache>
            </c:numRef>
          </c:val>
        </c:ser>
        <c:dLbls>
          <c:showLegendKey val="0"/>
          <c:showVal val="0"/>
          <c:showCatName val="0"/>
          <c:showSerName val="0"/>
          <c:showPercent val="0"/>
          <c:showBubbleSize val="0"/>
        </c:dLbls>
        <c:gapWidth val="219"/>
        <c:overlap val="-27"/>
        <c:axId val="503223120"/>
        <c:axId val="503223680"/>
      </c:barChart>
      <c:catAx>
        <c:axId val="5032231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503223680"/>
        <c:crosses val="autoZero"/>
        <c:auto val="1"/>
        <c:lblAlgn val="ctr"/>
        <c:lblOffset val="100"/>
        <c:noMultiLvlLbl val="0"/>
      </c:catAx>
      <c:valAx>
        <c:axId val="5032236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crossAx val="50322312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egendEntry>
        <c:idx val="1"/>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Entry>
      <c:layout>
        <c:manualLayout>
          <c:xMode val="edge"/>
          <c:yMode val="edge"/>
          <c:x val="0.127"/>
          <c:y val="0.90225"/>
          <c:w val="0.7455"/>
          <c:h val="0.07525"/>
        </c:manualLayout>
      </c:layout>
      <c:overlay val="0"/>
      <c:spPr>
        <a:noFill/>
        <a:ln>
          <a:noFill/>
        </a:ln>
        <a:effectLst/>
      </c:spPr>
      <c:txPr>
        <a:bodyPr rot="0" spcFirstLastPara="0" vertOverflow="ellipsis" vert="horz" wrap="square" anchor="ctr" anchorCtr="1"/>
        <a:lstStyle/>
        <a:p>
          <a:pPr>
            <a:defRPr lang="zh-CN" sz="1100" b="0" i="0" u="none" strike="noStrike" kern="1200" baseline="0">
              <a:solidFill>
                <a:schemeClr val="tx1">
                  <a:lumMod val="65000"/>
                  <a:lumOff val="35000"/>
                </a:schemeClr>
              </a:solidFill>
              <a:latin typeface="仿宋" panose="02010609060101010101" charset="-122"/>
              <a:ea typeface="仿宋" panose="02010609060101010101" charset="-122"/>
              <a:cs typeface="仿宋" panose="02010609060101010101" charset="-122"/>
              <a:sym typeface="仿宋" panose="0201060906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1100">
          <a:latin typeface="仿宋" panose="02010609060101010101" charset="-122"/>
          <a:ea typeface="仿宋" panose="02010609060101010101" charset="-122"/>
          <a:cs typeface="仿宋" panose="02010609060101010101" charset="-122"/>
          <a:sym typeface="仿宋" panose="0201060906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35305</Words>
  <Characters>36299</Characters>
  <Lines>0</Lines>
  <Paragraphs>0</Paragraphs>
  <TotalTime>0</TotalTime>
  <ScaleCrop>false</ScaleCrop>
  <LinksUpToDate>false</LinksUpToDate>
  <CharactersWithSpaces>36458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2021-09-18T09:26:00Z</dcterms:created>
  <dc:creator>Administrator</dc:creator>
  <cp:lastModifiedBy>admin</cp:lastModifiedBy>
  <dcterms:modified xsi:type="dcterms:W3CDTF">2025-08-05T08:04:29Z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4FA3181EE9AB4113B141DA69B6B2DD27</vt:lpwstr>
  </property>
</Properties>
</file>